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B38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Klinik Farmakolojiye giriş, opioidler, farmakolojide özel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Dönem III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amfi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ve özel Tıbbi Farmakoloji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ve özel tıbbi farmakolojik konuların aktarımı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B38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D55EA" w:rsidP="003D55EA">
            <w:pPr>
              <w:pStyle w:val="Kaynakca"/>
              <w:ind w:left="175" w:hanging="31"/>
              <w:rPr>
                <w:szCs w:val="16"/>
                <w:lang w:val="tr-TR"/>
              </w:rPr>
            </w:pPr>
            <w:r w:rsidRPr="003D55EA">
              <w:rPr>
                <w:szCs w:val="16"/>
                <w:lang w:val="tr-TR"/>
              </w:rPr>
              <w:t>Bertram Katzung, 13th edition– Basic and Clinical Pharmacology, Section 1, Chapter 1: 1-20, Lange 2015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D55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387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7C7E"/>
    <w:rsid w:val="003D55EA"/>
    <w:rsid w:val="00832BE3"/>
    <w:rsid w:val="00BC32DD"/>
    <w:rsid w:val="00C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hakanergün</cp:lastModifiedBy>
  <cp:revision>4</cp:revision>
  <dcterms:created xsi:type="dcterms:W3CDTF">2019-10-11T07:44:00Z</dcterms:created>
  <dcterms:modified xsi:type="dcterms:W3CDTF">2019-10-11T10:15:00Z</dcterms:modified>
</cp:coreProperties>
</file>