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4C8" w:rsidRPr="00531357" w:rsidRDefault="004804C8" w:rsidP="004804C8">
      <w:pPr>
        <w:pStyle w:val="BALIK1"/>
      </w:pPr>
      <w:bookmarkStart w:id="0" w:name="_Toc503173807"/>
      <w:bookmarkStart w:id="1" w:name="_Toc536438130"/>
      <w:bookmarkStart w:id="2" w:name="_Toc536438420"/>
      <w:bookmarkStart w:id="3" w:name="_Toc536438864"/>
      <w:r w:rsidRPr="00531357">
        <w:t>3.SİGORTA</w:t>
      </w:r>
      <w:bookmarkEnd w:id="0"/>
      <w:bookmarkEnd w:id="1"/>
      <w:bookmarkEnd w:id="2"/>
      <w:bookmarkEnd w:id="3"/>
    </w:p>
    <w:p w:rsidR="004804C8" w:rsidRPr="00531357" w:rsidRDefault="004804C8" w:rsidP="004804C8">
      <w:pPr>
        <w:pStyle w:val="BALIK11"/>
      </w:pPr>
      <w:bookmarkStart w:id="4" w:name="_Toc503173808"/>
      <w:bookmarkStart w:id="5" w:name="_Toc536438131"/>
      <w:bookmarkStart w:id="6" w:name="_Toc536438421"/>
      <w:bookmarkStart w:id="7" w:name="_Toc536438865"/>
      <w:r w:rsidRPr="00531357">
        <w:t>3.1.Sigortanın Tanımı ve Kapsamı</w:t>
      </w:r>
      <w:bookmarkEnd w:id="4"/>
      <w:bookmarkEnd w:id="5"/>
      <w:bookmarkEnd w:id="6"/>
      <w:bookmarkEnd w:id="7"/>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sz w:val="21"/>
          <w:szCs w:val="21"/>
        </w:rPr>
        <w:t xml:space="preserve">Sigorta, belirli bir prim karşılığında, kişinin para ile ölçülebilir bir menfaatinin uğrayacağı hasarı ve zararı tazmin etmek üzere yapılan anlaşma (sigorta sözleşmesi) çerçevesinde, riskin sigorta şirketlerine transfer edilmesidir. </w:t>
      </w:r>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sz w:val="21"/>
          <w:szCs w:val="21"/>
        </w:rPr>
        <w:t>Sigorta, riski transfer etmenin en uygun yöntemlerinden biridir. Sigortada havuz tekniği ile kayıplar, geniş bir grup içinde dağılır. S</w:t>
      </w:r>
      <w:r w:rsidRPr="00531357">
        <w:rPr>
          <w:rFonts w:ascii="Souvenir Lt BT" w:hAnsi="Souvenir Lt BT"/>
          <w:sz w:val="21"/>
          <w:szCs w:val="21"/>
        </w:rPr>
        <w:t>i</w:t>
      </w:r>
      <w:r w:rsidRPr="00531357">
        <w:rPr>
          <w:rFonts w:ascii="Souvenir Lt BT" w:hAnsi="Souvenir Lt BT"/>
          <w:sz w:val="21"/>
          <w:szCs w:val="21"/>
        </w:rPr>
        <w:t xml:space="preserve">gortanın temel özellikleri; </w:t>
      </w:r>
    </w:p>
    <w:p w:rsidR="004804C8" w:rsidRPr="00531357" w:rsidRDefault="004804C8" w:rsidP="004804C8">
      <w:pPr>
        <w:pStyle w:val="ListParagraph"/>
        <w:numPr>
          <w:ilvl w:val="0"/>
          <w:numId w:val="1"/>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Kayıpların bir havuz içinde dağılması,</w:t>
      </w:r>
    </w:p>
    <w:p w:rsidR="004804C8" w:rsidRPr="00531357" w:rsidRDefault="004804C8" w:rsidP="004804C8">
      <w:pPr>
        <w:pStyle w:val="ListParagraph"/>
        <w:numPr>
          <w:ilvl w:val="0"/>
          <w:numId w:val="1"/>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Kaybın beklenmedik şekilde ve aniden gerçekleşmesi,</w:t>
      </w:r>
    </w:p>
    <w:p w:rsidR="004804C8" w:rsidRPr="00531357" w:rsidRDefault="004804C8" w:rsidP="004804C8">
      <w:pPr>
        <w:pStyle w:val="ListParagraph"/>
        <w:numPr>
          <w:ilvl w:val="0"/>
          <w:numId w:val="1"/>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Risk transferi,</w:t>
      </w:r>
    </w:p>
    <w:p w:rsidR="004804C8" w:rsidRPr="00531357" w:rsidRDefault="004804C8" w:rsidP="004804C8">
      <w:pPr>
        <w:pStyle w:val="ListParagraph"/>
        <w:numPr>
          <w:ilvl w:val="0"/>
          <w:numId w:val="1"/>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Kaybın tazmin edilmesi,</w:t>
      </w:r>
    </w:p>
    <w:p w:rsidR="004804C8" w:rsidRPr="00531357" w:rsidRDefault="004804C8" w:rsidP="004804C8">
      <w:pPr>
        <w:pStyle w:val="ListParagraph"/>
        <w:numPr>
          <w:ilvl w:val="0"/>
          <w:numId w:val="1"/>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Sigortalanabilir risklerin tanımlanması,</w:t>
      </w:r>
    </w:p>
    <w:p w:rsidR="004804C8" w:rsidRPr="00531357" w:rsidRDefault="004804C8" w:rsidP="004804C8">
      <w:pPr>
        <w:pStyle w:val="ListParagraph"/>
        <w:numPr>
          <w:ilvl w:val="0"/>
          <w:numId w:val="1"/>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Primlerin ödenmesidir.</w:t>
      </w:r>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sz w:val="21"/>
          <w:szCs w:val="21"/>
        </w:rPr>
        <w:t>Sigortalanabilir riskin özellikleri ise;</w:t>
      </w:r>
    </w:p>
    <w:p w:rsidR="004804C8" w:rsidRPr="00531357" w:rsidRDefault="004804C8" w:rsidP="004804C8">
      <w:pPr>
        <w:pStyle w:val="ListParagraph"/>
        <w:numPr>
          <w:ilvl w:val="0"/>
          <w:numId w:val="2"/>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Homojen ve büyük sayıda gösteren biçim olması,</w:t>
      </w:r>
    </w:p>
    <w:p w:rsidR="004804C8" w:rsidRPr="00531357" w:rsidRDefault="004804C8" w:rsidP="004804C8">
      <w:pPr>
        <w:pStyle w:val="ListParagraph"/>
        <w:numPr>
          <w:ilvl w:val="0"/>
          <w:numId w:val="2"/>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 xml:space="preserve">Hasarın tanımlanabilir ve ölçülebilir olması, </w:t>
      </w:r>
    </w:p>
    <w:p w:rsidR="004804C8" w:rsidRPr="00531357" w:rsidRDefault="004804C8" w:rsidP="004804C8">
      <w:pPr>
        <w:pStyle w:val="ListParagraph"/>
        <w:numPr>
          <w:ilvl w:val="0"/>
          <w:numId w:val="2"/>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 xml:space="preserve">Hasarın </w:t>
      </w:r>
      <w:proofErr w:type="spellStart"/>
      <w:r w:rsidRPr="00531357">
        <w:rPr>
          <w:rFonts w:ascii="Souvenir Lt BT" w:hAnsi="Souvenir Lt BT"/>
          <w:sz w:val="21"/>
          <w:szCs w:val="21"/>
        </w:rPr>
        <w:t>katastrofik</w:t>
      </w:r>
      <w:proofErr w:type="spellEnd"/>
      <w:r>
        <w:rPr>
          <w:rFonts w:ascii="Souvenir Lt BT" w:hAnsi="Souvenir Lt BT"/>
          <w:sz w:val="21"/>
          <w:szCs w:val="21"/>
        </w:rPr>
        <w:t xml:space="preserve"> </w:t>
      </w:r>
      <w:r w:rsidRPr="00531357">
        <w:rPr>
          <w:rFonts w:ascii="Souvenir Lt BT" w:hAnsi="Souvenir Lt BT"/>
          <w:sz w:val="21"/>
          <w:szCs w:val="21"/>
        </w:rPr>
        <w:t>felaket(doğal afet gibi) etkisi yaratan o</w:t>
      </w:r>
      <w:r w:rsidRPr="00531357">
        <w:rPr>
          <w:rFonts w:ascii="Souvenir Lt BT" w:hAnsi="Souvenir Lt BT"/>
          <w:sz w:val="21"/>
          <w:szCs w:val="21"/>
        </w:rPr>
        <w:t>l</w:t>
      </w:r>
      <w:r w:rsidRPr="00531357">
        <w:rPr>
          <w:rFonts w:ascii="Souvenir Lt BT" w:hAnsi="Souvenir Lt BT"/>
          <w:sz w:val="21"/>
          <w:szCs w:val="21"/>
        </w:rPr>
        <w:t>maması,</w:t>
      </w:r>
    </w:p>
    <w:p w:rsidR="004804C8" w:rsidRPr="00531357" w:rsidRDefault="004804C8" w:rsidP="004804C8">
      <w:pPr>
        <w:pStyle w:val="ListParagraph"/>
        <w:numPr>
          <w:ilvl w:val="0"/>
          <w:numId w:val="2"/>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Kaybın olma şansının hesaplanabilir olması,</w:t>
      </w:r>
    </w:p>
    <w:p w:rsidR="004804C8" w:rsidRDefault="004804C8" w:rsidP="004804C8">
      <w:pPr>
        <w:pStyle w:val="ListParagraph"/>
        <w:numPr>
          <w:ilvl w:val="0"/>
          <w:numId w:val="2"/>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Primin, sigorta yaptıranın karşılayabileceği düzeyde olm</w:t>
      </w:r>
      <w:r w:rsidRPr="00531357">
        <w:rPr>
          <w:rFonts w:ascii="Souvenir Lt BT" w:hAnsi="Souvenir Lt BT"/>
          <w:sz w:val="21"/>
          <w:szCs w:val="21"/>
        </w:rPr>
        <w:t>a</w:t>
      </w:r>
      <w:r>
        <w:rPr>
          <w:rFonts w:ascii="Souvenir Lt BT" w:hAnsi="Souvenir Lt BT"/>
          <w:sz w:val="21"/>
          <w:szCs w:val="21"/>
        </w:rPr>
        <w:t>sı,</w:t>
      </w:r>
    </w:p>
    <w:p w:rsidR="004804C8" w:rsidRPr="00531357" w:rsidRDefault="004804C8" w:rsidP="004804C8">
      <w:pPr>
        <w:pStyle w:val="ListParagraph"/>
        <w:numPr>
          <w:ilvl w:val="0"/>
          <w:numId w:val="2"/>
        </w:numPr>
        <w:spacing w:after="60" w:line="264" w:lineRule="auto"/>
        <w:ind w:left="0" w:firstLine="397"/>
        <w:jc w:val="both"/>
        <w:rPr>
          <w:rFonts w:ascii="Souvenir Lt BT" w:hAnsi="Souvenir Lt BT"/>
          <w:sz w:val="21"/>
          <w:szCs w:val="21"/>
        </w:rPr>
      </w:pPr>
      <w:r>
        <w:rPr>
          <w:rFonts w:ascii="Souvenir Lt BT" w:hAnsi="Souvenir Lt BT"/>
          <w:sz w:val="21"/>
          <w:szCs w:val="21"/>
        </w:rPr>
        <w:t>Risklerin yasalara ve ahlaka aykırı olmamasıdır (</w:t>
      </w:r>
      <w:proofErr w:type="spellStart"/>
      <w:r>
        <w:rPr>
          <w:rFonts w:ascii="Souvenir Lt BT" w:hAnsi="Souvenir Lt BT"/>
          <w:sz w:val="21"/>
          <w:szCs w:val="21"/>
        </w:rPr>
        <w:t>Uralcan</w:t>
      </w:r>
      <w:proofErr w:type="spellEnd"/>
      <w:r>
        <w:rPr>
          <w:rFonts w:ascii="Souvenir Lt BT" w:hAnsi="Souvenir Lt BT"/>
          <w:sz w:val="21"/>
          <w:szCs w:val="21"/>
        </w:rPr>
        <w:t>, 2009).</w:t>
      </w:r>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sz w:val="21"/>
          <w:szCs w:val="21"/>
        </w:rPr>
        <w:t>Sigortada; riski veren, riski alana PRİM, riski alan, riski verene POLİÇE verir.</w:t>
      </w:r>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sz w:val="21"/>
          <w:szCs w:val="21"/>
        </w:rPr>
        <w:t>Sigortanın esas fonksiyonu;</w:t>
      </w:r>
    </w:p>
    <w:p w:rsidR="004804C8" w:rsidRPr="00531357" w:rsidRDefault="004804C8" w:rsidP="004804C8">
      <w:pPr>
        <w:pStyle w:val="ListParagraph"/>
        <w:numPr>
          <w:ilvl w:val="0"/>
          <w:numId w:val="3"/>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Dayanışma,</w:t>
      </w:r>
    </w:p>
    <w:p w:rsidR="004804C8" w:rsidRPr="00531357" w:rsidRDefault="004804C8" w:rsidP="004804C8">
      <w:pPr>
        <w:pStyle w:val="ListParagraph"/>
        <w:numPr>
          <w:ilvl w:val="0"/>
          <w:numId w:val="3"/>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Sosyal ve ekonomik işbirliği,</w:t>
      </w:r>
    </w:p>
    <w:p w:rsidR="004804C8" w:rsidRPr="00531357" w:rsidRDefault="004804C8" w:rsidP="004804C8">
      <w:pPr>
        <w:pStyle w:val="ListParagraph"/>
        <w:numPr>
          <w:ilvl w:val="0"/>
          <w:numId w:val="3"/>
        </w:numPr>
        <w:spacing w:after="60" w:line="264" w:lineRule="auto"/>
        <w:ind w:left="0" w:firstLine="397"/>
        <w:jc w:val="both"/>
        <w:rPr>
          <w:rFonts w:ascii="Souvenir Lt BT" w:hAnsi="Souvenir Lt BT"/>
          <w:sz w:val="21"/>
          <w:szCs w:val="21"/>
        </w:rPr>
      </w:pPr>
      <w:r w:rsidRPr="00531357">
        <w:rPr>
          <w:rFonts w:ascii="Souvenir Lt BT" w:hAnsi="Souvenir Lt BT"/>
          <w:sz w:val="21"/>
          <w:szCs w:val="21"/>
        </w:rPr>
        <w:t>Kaynakların korunması ve kullanımıdır.</w:t>
      </w:r>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sz w:val="21"/>
          <w:szCs w:val="21"/>
        </w:rPr>
        <w:t>Tarım sigortacılık sistemlerinin alt yapısında; kapsanan</w:t>
      </w:r>
      <w:r>
        <w:rPr>
          <w:rFonts w:ascii="Souvenir Lt BT" w:hAnsi="Souvenir Lt BT"/>
          <w:sz w:val="21"/>
          <w:szCs w:val="21"/>
        </w:rPr>
        <w:t xml:space="preserve"> </w:t>
      </w:r>
      <w:r w:rsidRPr="00531357">
        <w:rPr>
          <w:rFonts w:ascii="Souvenir Lt BT" w:hAnsi="Souvenir Lt BT"/>
          <w:sz w:val="21"/>
          <w:szCs w:val="21"/>
        </w:rPr>
        <w:t>risk ve te</w:t>
      </w:r>
      <w:r w:rsidRPr="00531357">
        <w:rPr>
          <w:rFonts w:ascii="Souvenir Lt BT" w:hAnsi="Souvenir Lt BT"/>
          <w:sz w:val="21"/>
          <w:szCs w:val="21"/>
        </w:rPr>
        <w:t>h</w:t>
      </w:r>
      <w:r w:rsidRPr="00531357">
        <w:rPr>
          <w:rFonts w:ascii="Souvenir Lt BT" w:hAnsi="Souvenir Lt BT"/>
          <w:sz w:val="21"/>
          <w:szCs w:val="21"/>
        </w:rPr>
        <w:t>likeler</w:t>
      </w:r>
      <w:r>
        <w:rPr>
          <w:rFonts w:ascii="Souvenir Lt BT" w:hAnsi="Souvenir Lt BT"/>
          <w:sz w:val="21"/>
          <w:szCs w:val="21"/>
        </w:rPr>
        <w:t>,</w:t>
      </w:r>
      <w:r w:rsidRPr="00531357">
        <w:rPr>
          <w:rFonts w:ascii="Souvenir Lt BT" w:hAnsi="Souvenir Lt BT"/>
          <w:sz w:val="21"/>
          <w:szCs w:val="21"/>
        </w:rPr>
        <w:t xml:space="preserve"> kamu ve özel teşebbüsün rolleri, bireysel ve alan bazında yakl</w:t>
      </w:r>
      <w:r w:rsidRPr="00531357">
        <w:rPr>
          <w:rFonts w:ascii="Souvenir Lt BT" w:hAnsi="Souvenir Lt BT"/>
          <w:sz w:val="21"/>
          <w:szCs w:val="21"/>
        </w:rPr>
        <w:t>a</w:t>
      </w:r>
      <w:r w:rsidRPr="00531357">
        <w:rPr>
          <w:rFonts w:ascii="Souvenir Lt BT" w:hAnsi="Souvenir Lt BT"/>
          <w:sz w:val="21"/>
          <w:szCs w:val="21"/>
        </w:rPr>
        <w:t>şımlar, gönüllü veya zorunlu sigorta programları, üst yapısında; sigo</w:t>
      </w:r>
      <w:r w:rsidRPr="00531357">
        <w:rPr>
          <w:rFonts w:ascii="Souvenir Lt BT" w:hAnsi="Souvenir Lt BT"/>
          <w:sz w:val="21"/>
          <w:szCs w:val="21"/>
        </w:rPr>
        <w:t>r</w:t>
      </w:r>
      <w:r w:rsidRPr="00531357">
        <w:rPr>
          <w:rFonts w:ascii="Souvenir Lt BT" w:hAnsi="Souvenir Lt BT"/>
          <w:sz w:val="21"/>
          <w:szCs w:val="21"/>
        </w:rPr>
        <w:t>tanın kapsadığı çiftçiler, kapsanan ürünler, sigorta bedeli/hasar tespiti, primlerin belirlenmesi, kayıp ayarlama örgü</w:t>
      </w:r>
      <w:r w:rsidRPr="00531357">
        <w:rPr>
          <w:rFonts w:ascii="Souvenir Lt BT" w:hAnsi="Souvenir Lt BT"/>
          <w:sz w:val="21"/>
          <w:szCs w:val="21"/>
        </w:rPr>
        <w:t>t</w:t>
      </w:r>
      <w:r w:rsidRPr="00531357">
        <w:rPr>
          <w:rFonts w:ascii="Souvenir Lt BT" w:hAnsi="Souvenir Lt BT"/>
          <w:sz w:val="21"/>
          <w:szCs w:val="21"/>
        </w:rPr>
        <w:t xml:space="preserve">lenme yapısı, programın finansmanı, çiftçilerle iletişim, </w:t>
      </w:r>
      <w:proofErr w:type="gramStart"/>
      <w:r w:rsidRPr="00531357">
        <w:rPr>
          <w:rFonts w:ascii="Souvenir Lt BT" w:hAnsi="Souvenir Lt BT"/>
          <w:sz w:val="21"/>
          <w:szCs w:val="21"/>
        </w:rPr>
        <w:t>reasürans</w:t>
      </w:r>
      <w:proofErr w:type="gramEnd"/>
      <w:r w:rsidRPr="00531357">
        <w:rPr>
          <w:rFonts w:ascii="Souvenir Lt BT" w:hAnsi="Souvenir Lt BT"/>
          <w:sz w:val="21"/>
          <w:szCs w:val="21"/>
        </w:rPr>
        <w:t xml:space="preserve"> düzenlemeleri, sürdürülebili</w:t>
      </w:r>
      <w:r w:rsidRPr="00531357">
        <w:rPr>
          <w:rFonts w:ascii="Souvenir Lt BT" w:hAnsi="Souvenir Lt BT"/>
          <w:sz w:val="21"/>
          <w:szCs w:val="21"/>
        </w:rPr>
        <w:t>r</w:t>
      </w:r>
      <w:r w:rsidRPr="00531357">
        <w:rPr>
          <w:rFonts w:ascii="Souvenir Lt BT" w:hAnsi="Souvenir Lt BT"/>
          <w:sz w:val="21"/>
          <w:szCs w:val="21"/>
        </w:rPr>
        <w:t>liğinde; veri yeterliliği, personel yete</w:t>
      </w:r>
      <w:r w:rsidRPr="00531357">
        <w:rPr>
          <w:rFonts w:ascii="Souvenir Lt BT" w:hAnsi="Souvenir Lt BT"/>
          <w:sz w:val="21"/>
          <w:szCs w:val="21"/>
        </w:rPr>
        <w:t>r</w:t>
      </w:r>
      <w:r w:rsidRPr="00531357">
        <w:rPr>
          <w:rFonts w:ascii="Souvenir Lt BT" w:hAnsi="Souvenir Lt BT"/>
          <w:sz w:val="21"/>
          <w:szCs w:val="21"/>
        </w:rPr>
        <w:t>liliği, izleme/değerlendirme yer almaktadır (</w:t>
      </w:r>
      <w:proofErr w:type="spellStart"/>
      <w:r w:rsidRPr="00531357">
        <w:rPr>
          <w:rFonts w:ascii="Souvenir Lt BT" w:hAnsi="Souvenir Lt BT"/>
          <w:sz w:val="21"/>
          <w:szCs w:val="21"/>
        </w:rPr>
        <w:t>Jain</w:t>
      </w:r>
      <w:proofErr w:type="spellEnd"/>
      <w:r w:rsidRPr="00531357">
        <w:rPr>
          <w:rFonts w:ascii="Souvenir Lt BT" w:hAnsi="Souvenir Lt BT"/>
          <w:sz w:val="21"/>
          <w:szCs w:val="21"/>
        </w:rPr>
        <w:t>, 2004).</w:t>
      </w:r>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sz w:val="21"/>
          <w:szCs w:val="21"/>
        </w:rPr>
        <w:t>Sigortayla ilgili bazı terimlerin anlamları:</w:t>
      </w:r>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b/>
          <w:sz w:val="21"/>
          <w:szCs w:val="21"/>
        </w:rPr>
        <w:t>Reasürans</w:t>
      </w:r>
      <w:r w:rsidRPr="00531357">
        <w:rPr>
          <w:rFonts w:ascii="Souvenir Lt BT" w:hAnsi="Souvenir Lt BT"/>
          <w:sz w:val="21"/>
          <w:szCs w:val="21"/>
        </w:rPr>
        <w:t>: Bir sigorta şirketinin üzerine al</w:t>
      </w:r>
      <w:r>
        <w:rPr>
          <w:rFonts w:ascii="Souvenir Lt BT" w:hAnsi="Souvenir Lt BT"/>
          <w:sz w:val="21"/>
          <w:szCs w:val="21"/>
        </w:rPr>
        <w:t>mış olduğu riski tekrar sigortalatarak kendilerini güvenceye almasıdır.</w:t>
      </w:r>
    </w:p>
    <w:p w:rsidR="004804C8" w:rsidRPr="00531357" w:rsidRDefault="004804C8" w:rsidP="004804C8">
      <w:pPr>
        <w:spacing w:after="60" w:line="264" w:lineRule="auto"/>
        <w:ind w:firstLine="397"/>
        <w:jc w:val="both"/>
        <w:rPr>
          <w:rFonts w:ascii="Souvenir Lt BT" w:hAnsi="Souvenir Lt BT"/>
          <w:sz w:val="21"/>
          <w:szCs w:val="21"/>
        </w:rPr>
      </w:pPr>
      <w:proofErr w:type="spellStart"/>
      <w:r w:rsidRPr="00531357">
        <w:rPr>
          <w:rFonts w:ascii="Souvenir Lt BT" w:hAnsi="Souvenir Lt BT"/>
          <w:b/>
          <w:sz w:val="21"/>
          <w:szCs w:val="21"/>
        </w:rPr>
        <w:t>Koasürans</w:t>
      </w:r>
      <w:proofErr w:type="spellEnd"/>
      <w:r w:rsidRPr="00531357">
        <w:rPr>
          <w:rFonts w:ascii="Souvenir Lt BT" w:hAnsi="Souvenir Lt BT"/>
          <w:sz w:val="21"/>
          <w:szCs w:val="21"/>
        </w:rPr>
        <w:t>: Bir rizikonun birden fazla şirket tarafından orta</w:t>
      </w:r>
      <w:r w:rsidRPr="00531357">
        <w:rPr>
          <w:rFonts w:ascii="Souvenir Lt BT" w:hAnsi="Souvenir Lt BT"/>
          <w:sz w:val="21"/>
          <w:szCs w:val="21"/>
        </w:rPr>
        <w:t>k</w:t>
      </w:r>
      <w:r w:rsidRPr="00531357">
        <w:rPr>
          <w:rFonts w:ascii="Souvenir Lt BT" w:hAnsi="Souvenir Lt BT"/>
          <w:sz w:val="21"/>
          <w:szCs w:val="21"/>
        </w:rPr>
        <w:t xml:space="preserve">laşa olarak teminata alınması </w:t>
      </w:r>
      <w:r>
        <w:rPr>
          <w:rFonts w:ascii="Souvenir Lt BT" w:hAnsi="Souvenir Lt BT"/>
          <w:sz w:val="21"/>
          <w:szCs w:val="21"/>
        </w:rPr>
        <w:t xml:space="preserve">yani büyük risklerin paylaşılması amacıyla yapılan bir </w:t>
      </w:r>
      <w:r w:rsidRPr="00531357">
        <w:rPr>
          <w:rFonts w:ascii="Souvenir Lt BT" w:hAnsi="Souvenir Lt BT"/>
          <w:sz w:val="21"/>
          <w:szCs w:val="21"/>
        </w:rPr>
        <w:t xml:space="preserve">işlemdir. </w:t>
      </w:r>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b/>
          <w:sz w:val="21"/>
          <w:szCs w:val="21"/>
        </w:rPr>
        <w:t>Zeyilname:</w:t>
      </w:r>
      <w:r w:rsidRPr="00531357">
        <w:rPr>
          <w:rFonts w:ascii="Souvenir Lt BT" w:hAnsi="Souvenir Lt BT"/>
          <w:sz w:val="21"/>
          <w:szCs w:val="21"/>
        </w:rPr>
        <w:t xml:space="preserve"> Poliçeler üzerinde herhangi bir değişiklik, ilave, iptal gibi durumların çıkması halinde düzenlenen belgedir. Örneğin, trakt</w:t>
      </w:r>
      <w:r w:rsidRPr="00531357">
        <w:rPr>
          <w:rFonts w:ascii="Souvenir Lt BT" w:hAnsi="Souvenir Lt BT"/>
          <w:sz w:val="21"/>
          <w:szCs w:val="21"/>
        </w:rPr>
        <w:t>ö</w:t>
      </w:r>
      <w:r w:rsidRPr="00531357">
        <w:rPr>
          <w:rFonts w:ascii="Souvenir Lt BT" w:hAnsi="Souvenir Lt BT"/>
          <w:sz w:val="21"/>
          <w:szCs w:val="21"/>
        </w:rPr>
        <w:t xml:space="preserve">rün trafik sigortası poliçesi Kasım ayında düzenlenmiş ve izleyen Ocak ayında trafik sigortasında değişiklik olursa, zeyilname ile durum, yeni düzenlemeye uydurulur. </w:t>
      </w:r>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b/>
          <w:sz w:val="21"/>
          <w:szCs w:val="21"/>
        </w:rPr>
        <w:t>Sigorta Bedeli</w:t>
      </w:r>
      <w:r w:rsidRPr="00531357">
        <w:rPr>
          <w:rFonts w:ascii="Souvenir Lt BT" w:hAnsi="Souvenir Lt BT"/>
          <w:sz w:val="21"/>
          <w:szCs w:val="21"/>
        </w:rPr>
        <w:t xml:space="preserve">: Sigortalananın, </w:t>
      </w:r>
      <w:r>
        <w:rPr>
          <w:rFonts w:ascii="Souvenir Lt BT" w:hAnsi="Souvenir Lt BT"/>
          <w:sz w:val="21"/>
          <w:szCs w:val="21"/>
        </w:rPr>
        <w:t>sigorta poliçesinde yazılı olan, tazminata esas oluşturan azami bedeldir. Sigortalının uğrayabileceği en büyük mali kayıptır.</w:t>
      </w:r>
      <w:r w:rsidRPr="00531357">
        <w:rPr>
          <w:rFonts w:ascii="Souvenir Lt BT" w:hAnsi="Souvenir Lt BT"/>
          <w:sz w:val="21"/>
          <w:szCs w:val="21"/>
        </w:rPr>
        <w:t xml:space="preserve"> </w:t>
      </w:r>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b/>
          <w:sz w:val="21"/>
          <w:szCs w:val="21"/>
        </w:rPr>
        <w:lastRenderedPageBreak/>
        <w:t>Sigorta Değeri</w:t>
      </w:r>
      <w:r w:rsidRPr="00531357">
        <w:rPr>
          <w:rFonts w:ascii="Souvenir Lt BT" w:hAnsi="Souvenir Lt BT"/>
          <w:sz w:val="21"/>
          <w:szCs w:val="21"/>
        </w:rPr>
        <w:t>: Teminat altına alınmış olan değerin piyasa ray</w:t>
      </w:r>
      <w:r w:rsidRPr="00531357">
        <w:rPr>
          <w:rFonts w:ascii="Souvenir Lt BT" w:hAnsi="Souvenir Lt BT"/>
          <w:sz w:val="21"/>
          <w:szCs w:val="21"/>
        </w:rPr>
        <w:t>i</w:t>
      </w:r>
      <w:r w:rsidRPr="00531357">
        <w:rPr>
          <w:rFonts w:ascii="Souvenir Lt BT" w:hAnsi="Souvenir Lt BT"/>
          <w:sz w:val="21"/>
          <w:szCs w:val="21"/>
        </w:rPr>
        <w:t xml:space="preserve">cidir. </w:t>
      </w:r>
      <w:r>
        <w:rPr>
          <w:rFonts w:ascii="Souvenir Lt BT" w:hAnsi="Souvenir Lt BT"/>
          <w:sz w:val="21"/>
          <w:szCs w:val="21"/>
        </w:rPr>
        <w:t xml:space="preserve">Sigortayı yapan tarafın riskin gerçekleşmesi durumunda sigorta yaptırana ödeneceğine ilişkin güvence verdiği miktardır. </w:t>
      </w:r>
      <w:r w:rsidRPr="00531357">
        <w:rPr>
          <w:rFonts w:ascii="Souvenir Lt BT" w:hAnsi="Souvenir Lt BT"/>
          <w:sz w:val="21"/>
          <w:szCs w:val="21"/>
        </w:rPr>
        <w:t xml:space="preserve">Sigorta bedeli, sigorta değerine eşit olmalıdır. Bu durumda hasar halinde sigortalı hasarın tamamını alabilir. </w:t>
      </w:r>
    </w:p>
    <w:p w:rsidR="004804C8" w:rsidRPr="00531357" w:rsidRDefault="004804C8" w:rsidP="004804C8">
      <w:pPr>
        <w:pStyle w:val="BALIK11"/>
      </w:pPr>
      <w:bookmarkStart w:id="8" w:name="_Toc503173809"/>
      <w:bookmarkStart w:id="9" w:name="_Toc536438132"/>
      <w:bookmarkStart w:id="10" w:name="_Toc536438422"/>
      <w:bookmarkStart w:id="11" w:name="_Toc536438866"/>
      <w:r w:rsidRPr="00531357">
        <w:t>3.2.Sigortacılık Genel İlkeleri</w:t>
      </w:r>
      <w:bookmarkEnd w:id="8"/>
      <w:bookmarkEnd w:id="9"/>
      <w:bookmarkEnd w:id="10"/>
      <w:bookmarkEnd w:id="11"/>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sz w:val="21"/>
          <w:szCs w:val="21"/>
        </w:rPr>
        <w:t>Sigortacılık genel ilkeleri şunlardır (Çetin, 2007</w:t>
      </w:r>
      <w:r>
        <w:rPr>
          <w:rFonts w:ascii="Souvenir Lt BT" w:hAnsi="Souvenir Lt BT"/>
          <w:sz w:val="21"/>
          <w:szCs w:val="21"/>
        </w:rPr>
        <w:t>; Anonim, Acente; Bayar, 2008</w:t>
      </w:r>
      <w:r w:rsidRPr="00531357">
        <w:rPr>
          <w:rFonts w:ascii="Souvenir Lt BT" w:hAnsi="Souvenir Lt BT"/>
          <w:sz w:val="21"/>
          <w:szCs w:val="21"/>
        </w:rPr>
        <w:t>);</w:t>
      </w:r>
    </w:p>
    <w:p w:rsidR="004804C8" w:rsidRPr="00A818BD" w:rsidRDefault="004804C8" w:rsidP="004804C8">
      <w:pPr>
        <w:pStyle w:val="ListParagraph"/>
        <w:numPr>
          <w:ilvl w:val="0"/>
          <w:numId w:val="4"/>
        </w:numPr>
        <w:spacing w:after="60" w:line="264" w:lineRule="auto"/>
        <w:ind w:left="0" w:firstLine="397"/>
        <w:jc w:val="both"/>
        <w:rPr>
          <w:rFonts w:ascii="Souvenir Lt BT" w:hAnsi="Souvenir Lt BT"/>
          <w:b/>
          <w:i/>
          <w:sz w:val="21"/>
          <w:szCs w:val="21"/>
        </w:rPr>
      </w:pPr>
      <w:r w:rsidRPr="00A818BD">
        <w:rPr>
          <w:rFonts w:ascii="Souvenir Lt BT" w:hAnsi="Souvenir Lt BT"/>
          <w:b/>
          <w:i/>
          <w:sz w:val="21"/>
          <w:szCs w:val="21"/>
        </w:rPr>
        <w:t>Mutlak iyi niyet ilkesi</w:t>
      </w:r>
    </w:p>
    <w:p w:rsidR="004804C8" w:rsidRDefault="004804C8" w:rsidP="004804C8">
      <w:pPr>
        <w:pStyle w:val="ListParagraph"/>
        <w:spacing w:after="60" w:line="264" w:lineRule="auto"/>
        <w:ind w:left="0" w:firstLine="397"/>
        <w:jc w:val="both"/>
        <w:rPr>
          <w:rFonts w:ascii="Souvenir Lt BT" w:hAnsi="Souvenir Lt BT"/>
          <w:sz w:val="21"/>
          <w:szCs w:val="21"/>
        </w:rPr>
      </w:pPr>
      <w:r w:rsidRPr="00531357">
        <w:rPr>
          <w:rFonts w:ascii="Souvenir Lt BT" w:hAnsi="Souvenir Lt BT"/>
          <w:sz w:val="21"/>
          <w:szCs w:val="21"/>
        </w:rPr>
        <w:t>Sigorta yaptıran ve sigorta yapanların doğru beyanda bulunmal</w:t>
      </w:r>
      <w:r w:rsidRPr="00531357">
        <w:rPr>
          <w:rFonts w:ascii="Souvenir Lt BT" w:hAnsi="Souvenir Lt BT"/>
          <w:sz w:val="21"/>
          <w:szCs w:val="21"/>
        </w:rPr>
        <w:t>a</w:t>
      </w:r>
      <w:r w:rsidRPr="00531357">
        <w:rPr>
          <w:rFonts w:ascii="Souvenir Lt BT" w:hAnsi="Souvenir Lt BT"/>
          <w:sz w:val="21"/>
          <w:szCs w:val="21"/>
        </w:rPr>
        <w:t xml:space="preserve">rı, ne koşullarda riskin alındığının gerçekçi şekilde ortaya konulması esastır. </w:t>
      </w:r>
      <w:r>
        <w:rPr>
          <w:rFonts w:ascii="Souvenir Lt BT" w:hAnsi="Souvenir Lt BT"/>
          <w:sz w:val="21"/>
          <w:szCs w:val="21"/>
        </w:rPr>
        <w:t xml:space="preserve">Taraflar hileli biçimde hareket etmemelidir. Sigorta sözleşmelerinde aranılan iyi niyetten çok azami iyi niyettir. Sigorta sözleşmeleri azami iyi niyet üzerine tesis edilir. Sigortacı ve sigorta yaptıran her şeyi söylemek ve bildirmek durumundadır. </w:t>
      </w:r>
    </w:p>
    <w:p w:rsidR="004804C8" w:rsidRPr="00531357" w:rsidRDefault="004804C8" w:rsidP="004804C8">
      <w:pPr>
        <w:pStyle w:val="ListParagraph"/>
        <w:spacing w:after="60" w:line="264" w:lineRule="auto"/>
        <w:ind w:left="0" w:firstLine="397"/>
        <w:jc w:val="both"/>
        <w:rPr>
          <w:rFonts w:ascii="Souvenir Lt BT" w:hAnsi="Souvenir Lt BT"/>
          <w:sz w:val="21"/>
          <w:szCs w:val="21"/>
        </w:rPr>
      </w:pPr>
    </w:p>
    <w:p w:rsidR="004804C8" w:rsidRPr="00A818BD" w:rsidRDefault="004804C8" w:rsidP="004804C8">
      <w:pPr>
        <w:pStyle w:val="ListParagraph"/>
        <w:numPr>
          <w:ilvl w:val="0"/>
          <w:numId w:val="4"/>
        </w:numPr>
        <w:spacing w:after="60" w:line="264" w:lineRule="auto"/>
        <w:ind w:left="0" w:firstLine="397"/>
        <w:jc w:val="both"/>
        <w:rPr>
          <w:rFonts w:ascii="Souvenir Lt BT" w:hAnsi="Souvenir Lt BT"/>
          <w:b/>
          <w:i/>
          <w:sz w:val="21"/>
          <w:szCs w:val="21"/>
        </w:rPr>
      </w:pPr>
      <w:r w:rsidRPr="00A818BD">
        <w:rPr>
          <w:rFonts w:ascii="Souvenir Lt BT" w:hAnsi="Souvenir Lt BT"/>
          <w:b/>
          <w:i/>
          <w:sz w:val="21"/>
          <w:szCs w:val="21"/>
        </w:rPr>
        <w:t>Sigortalanabilir çıkar ilkesi</w:t>
      </w:r>
    </w:p>
    <w:p w:rsidR="004804C8" w:rsidRPr="00531357" w:rsidRDefault="004804C8" w:rsidP="004804C8">
      <w:pPr>
        <w:pStyle w:val="ListParagraph"/>
        <w:spacing w:after="60" w:line="264" w:lineRule="auto"/>
        <w:ind w:left="0" w:firstLine="397"/>
        <w:jc w:val="both"/>
        <w:rPr>
          <w:rFonts w:ascii="Souvenir Lt BT" w:hAnsi="Souvenir Lt BT"/>
          <w:sz w:val="21"/>
          <w:szCs w:val="21"/>
        </w:rPr>
      </w:pPr>
      <w:r w:rsidRPr="00531357">
        <w:rPr>
          <w:rFonts w:ascii="Souvenir Lt BT" w:hAnsi="Souvenir Lt BT"/>
          <w:sz w:val="21"/>
          <w:szCs w:val="21"/>
        </w:rPr>
        <w:t>Sigorta yaptıranın söz konusu nesnenin sahibi olması şart deği</w:t>
      </w:r>
      <w:r w:rsidRPr="00531357">
        <w:rPr>
          <w:rFonts w:ascii="Souvenir Lt BT" w:hAnsi="Souvenir Lt BT"/>
          <w:sz w:val="21"/>
          <w:szCs w:val="21"/>
        </w:rPr>
        <w:t>l</w:t>
      </w:r>
      <w:r w:rsidRPr="00531357">
        <w:rPr>
          <w:rFonts w:ascii="Souvenir Lt BT" w:hAnsi="Souvenir Lt BT"/>
          <w:sz w:val="21"/>
          <w:szCs w:val="21"/>
        </w:rPr>
        <w:t xml:space="preserve">dir. O nesnenin üzerinde çıkarının bulunması </w:t>
      </w:r>
      <w:proofErr w:type="gramStart"/>
      <w:r w:rsidRPr="00531357">
        <w:rPr>
          <w:rFonts w:ascii="Souvenir Lt BT" w:hAnsi="Souvenir Lt BT"/>
          <w:sz w:val="21"/>
          <w:szCs w:val="21"/>
        </w:rPr>
        <w:t>kafidir</w:t>
      </w:r>
      <w:proofErr w:type="gramEnd"/>
      <w:r w:rsidRPr="00531357">
        <w:rPr>
          <w:rFonts w:ascii="Souvenir Lt BT" w:hAnsi="Souvenir Lt BT"/>
          <w:sz w:val="21"/>
          <w:szCs w:val="21"/>
        </w:rPr>
        <w:t>.</w:t>
      </w:r>
    </w:p>
    <w:p w:rsidR="004804C8" w:rsidRPr="00531357" w:rsidRDefault="004804C8" w:rsidP="004804C8">
      <w:pPr>
        <w:pStyle w:val="ListParagraph"/>
        <w:spacing w:after="60" w:line="264" w:lineRule="auto"/>
        <w:ind w:left="0" w:firstLine="397"/>
        <w:jc w:val="both"/>
        <w:rPr>
          <w:rFonts w:ascii="Souvenir Lt BT" w:hAnsi="Souvenir Lt BT"/>
          <w:sz w:val="21"/>
          <w:szCs w:val="21"/>
        </w:rPr>
      </w:pPr>
      <w:r w:rsidRPr="00531357">
        <w:rPr>
          <w:rFonts w:ascii="Souvenir Lt BT" w:hAnsi="Souvenir Lt BT"/>
          <w:sz w:val="21"/>
          <w:szCs w:val="21"/>
        </w:rPr>
        <w:t>Bir binayı sahibi olan kişi mal sahibi sıfatı ile sigorta ettirebilirken, bu bina bankaya teminat olarak gösterilerek yani ipotek yapılarak kredi temin ediliyorsa, bankada binanın sahibi olmamasına rağmen ipotekten dolayı ortaya çıkan çıkarı nedeniyle binayı sigorta ettirebilir.</w:t>
      </w:r>
    </w:p>
    <w:p w:rsidR="004804C8" w:rsidRPr="00A818BD" w:rsidRDefault="004804C8" w:rsidP="004804C8">
      <w:pPr>
        <w:pStyle w:val="ListParagraph"/>
        <w:numPr>
          <w:ilvl w:val="0"/>
          <w:numId w:val="4"/>
        </w:numPr>
        <w:spacing w:after="60" w:line="264" w:lineRule="auto"/>
        <w:ind w:left="0" w:firstLine="397"/>
        <w:jc w:val="both"/>
        <w:rPr>
          <w:rFonts w:ascii="Souvenir Lt BT" w:hAnsi="Souvenir Lt BT"/>
          <w:b/>
          <w:i/>
          <w:sz w:val="21"/>
          <w:szCs w:val="21"/>
        </w:rPr>
      </w:pPr>
      <w:r w:rsidRPr="00A818BD">
        <w:rPr>
          <w:rFonts w:ascii="Souvenir Lt BT" w:hAnsi="Souvenir Lt BT"/>
          <w:b/>
          <w:i/>
          <w:sz w:val="21"/>
          <w:szCs w:val="21"/>
        </w:rPr>
        <w:t>Tazminat ilkesi</w:t>
      </w:r>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sz w:val="21"/>
          <w:szCs w:val="21"/>
        </w:rPr>
        <w:t>Sigortalının, hasar durumunda zararı tazmin edilir. Bu tazmin şe</w:t>
      </w:r>
      <w:r w:rsidRPr="00531357">
        <w:rPr>
          <w:rFonts w:ascii="Souvenir Lt BT" w:hAnsi="Souvenir Lt BT"/>
          <w:sz w:val="21"/>
          <w:szCs w:val="21"/>
        </w:rPr>
        <w:t>k</w:t>
      </w:r>
      <w:r w:rsidRPr="00531357">
        <w:rPr>
          <w:rFonts w:ascii="Souvenir Lt BT" w:hAnsi="Souvenir Lt BT"/>
          <w:sz w:val="21"/>
          <w:szCs w:val="21"/>
        </w:rPr>
        <w:t>li hasarın karşılığını nakdi olarak ödeme şeklinde olabileceği gibi sigo</w:t>
      </w:r>
      <w:r w:rsidRPr="00531357">
        <w:rPr>
          <w:rFonts w:ascii="Souvenir Lt BT" w:hAnsi="Souvenir Lt BT"/>
          <w:sz w:val="21"/>
          <w:szCs w:val="21"/>
        </w:rPr>
        <w:t>r</w:t>
      </w:r>
      <w:r w:rsidRPr="00531357">
        <w:rPr>
          <w:rFonts w:ascii="Souvenir Lt BT" w:hAnsi="Souvenir Lt BT"/>
          <w:sz w:val="21"/>
          <w:szCs w:val="21"/>
        </w:rPr>
        <w:t xml:space="preserve">ta yaptıran ve yapanın anlaşmasıyla onarım ya da yerine yenisini vermek biçiminde de olabilir. </w:t>
      </w:r>
      <w:r>
        <w:rPr>
          <w:rFonts w:ascii="Souvenir Lt BT" w:hAnsi="Souvenir Lt BT"/>
          <w:sz w:val="21"/>
          <w:szCs w:val="21"/>
        </w:rPr>
        <w:t xml:space="preserve">Sigortalıyı mümkün olduğu kadar hasardan önceki mali seviyesine getirmek sigorta sözleşmesinin konusudur. Bu ödeme, tamir ve yenileme, yerine koyma şeklinde olabilir. </w:t>
      </w:r>
    </w:p>
    <w:p w:rsidR="004804C8" w:rsidRPr="00A818BD" w:rsidRDefault="004804C8" w:rsidP="004804C8">
      <w:pPr>
        <w:pStyle w:val="ListParagraph"/>
        <w:numPr>
          <w:ilvl w:val="0"/>
          <w:numId w:val="4"/>
        </w:numPr>
        <w:spacing w:after="60" w:line="264" w:lineRule="auto"/>
        <w:ind w:left="0" w:firstLine="397"/>
        <w:jc w:val="both"/>
        <w:rPr>
          <w:rFonts w:ascii="Souvenir Lt BT" w:hAnsi="Souvenir Lt BT"/>
          <w:b/>
          <w:i/>
          <w:sz w:val="21"/>
          <w:szCs w:val="21"/>
        </w:rPr>
      </w:pPr>
      <w:r w:rsidRPr="00A818BD">
        <w:rPr>
          <w:rFonts w:ascii="Souvenir Lt BT" w:hAnsi="Souvenir Lt BT"/>
          <w:b/>
          <w:i/>
          <w:sz w:val="21"/>
          <w:szCs w:val="21"/>
        </w:rPr>
        <w:t>Yakın sebep ilkesi</w:t>
      </w:r>
    </w:p>
    <w:p w:rsidR="004804C8" w:rsidRPr="00531357"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sz w:val="21"/>
          <w:szCs w:val="21"/>
        </w:rPr>
        <w:t>Sigortalı bir nesnede ortaya çıkan hasarın tazmin edilebilmesi için bu hasar, teminat kapsamındaki bir nedene en yakın sebepten olu</w:t>
      </w:r>
      <w:r w:rsidRPr="00531357">
        <w:rPr>
          <w:rFonts w:ascii="Souvenir Lt BT" w:hAnsi="Souvenir Lt BT"/>
          <w:sz w:val="21"/>
          <w:szCs w:val="21"/>
        </w:rPr>
        <w:t>ş</w:t>
      </w:r>
      <w:r w:rsidRPr="00531357">
        <w:rPr>
          <w:rFonts w:ascii="Souvenir Lt BT" w:hAnsi="Souvenir Lt BT"/>
          <w:sz w:val="21"/>
          <w:szCs w:val="21"/>
        </w:rPr>
        <w:t xml:space="preserve">malıdır. Örneğin bir çiftliğin hangarında duran bir tarım aletini çalmak amacıyla hırsız kapıyı kırmış ancak söz konusu aleti çalamamış ise kırılan kapının hasarı </w:t>
      </w:r>
      <w:proofErr w:type="spellStart"/>
      <w:r w:rsidRPr="00531357">
        <w:rPr>
          <w:rFonts w:ascii="Souvenir Lt BT" w:hAnsi="Souvenir Lt BT"/>
          <w:sz w:val="21"/>
          <w:szCs w:val="21"/>
        </w:rPr>
        <w:t>sigortalayanca</w:t>
      </w:r>
      <w:proofErr w:type="spellEnd"/>
      <w:r w:rsidRPr="00531357">
        <w:rPr>
          <w:rFonts w:ascii="Souvenir Lt BT" w:hAnsi="Souvenir Lt BT"/>
          <w:sz w:val="21"/>
          <w:szCs w:val="21"/>
        </w:rPr>
        <w:t xml:space="preserve"> tazmin edilir. </w:t>
      </w:r>
    </w:p>
    <w:p w:rsidR="004804C8" w:rsidRDefault="004804C8" w:rsidP="004804C8">
      <w:pPr>
        <w:pStyle w:val="ListParagraph"/>
        <w:numPr>
          <w:ilvl w:val="0"/>
          <w:numId w:val="4"/>
        </w:numPr>
        <w:spacing w:after="60" w:line="264" w:lineRule="auto"/>
        <w:ind w:left="0" w:firstLine="397"/>
        <w:jc w:val="both"/>
        <w:rPr>
          <w:rFonts w:ascii="Souvenir Lt BT" w:hAnsi="Souvenir Lt BT"/>
          <w:b/>
          <w:i/>
          <w:sz w:val="21"/>
          <w:szCs w:val="21"/>
        </w:rPr>
      </w:pPr>
      <w:r w:rsidRPr="00A818BD">
        <w:rPr>
          <w:rFonts w:ascii="Souvenir Lt BT" w:hAnsi="Souvenir Lt BT"/>
          <w:b/>
          <w:i/>
          <w:sz w:val="21"/>
          <w:szCs w:val="21"/>
        </w:rPr>
        <w:t>Rücu ilkesi</w:t>
      </w:r>
    </w:p>
    <w:p w:rsidR="004804C8" w:rsidRDefault="004804C8" w:rsidP="004804C8">
      <w:pPr>
        <w:spacing w:after="60" w:line="264" w:lineRule="auto"/>
        <w:ind w:firstLine="397"/>
        <w:jc w:val="both"/>
        <w:rPr>
          <w:rFonts w:ascii="Souvenir Lt BT" w:hAnsi="Souvenir Lt BT"/>
          <w:sz w:val="21"/>
          <w:szCs w:val="21"/>
        </w:rPr>
      </w:pPr>
      <w:r w:rsidRPr="00531357">
        <w:rPr>
          <w:rFonts w:ascii="Souvenir Lt BT" w:hAnsi="Souvenir Lt BT"/>
          <w:sz w:val="21"/>
          <w:szCs w:val="21"/>
        </w:rPr>
        <w:t>Sigortalıya ödenen tazminatın, kusur oranına göre hasara sebeb</w:t>
      </w:r>
      <w:r w:rsidRPr="00531357">
        <w:rPr>
          <w:rFonts w:ascii="Souvenir Lt BT" w:hAnsi="Souvenir Lt BT"/>
          <w:sz w:val="21"/>
          <w:szCs w:val="21"/>
        </w:rPr>
        <w:t>i</w:t>
      </w:r>
      <w:r w:rsidRPr="00531357">
        <w:rPr>
          <w:rFonts w:ascii="Souvenir Lt BT" w:hAnsi="Souvenir Lt BT"/>
          <w:sz w:val="21"/>
          <w:szCs w:val="21"/>
        </w:rPr>
        <w:t xml:space="preserve">yet veren kişilerden talep edilmesi, geri istenmesidir. Örneğin, sigortalı traktöre çarparak zarar veren sigortalı bir otomobil olsun. Traktörün sigortasını yapan sigorta şirketi sigortalısına traktördeki hasarını öder, ancak bu ödemeyi otomobilin sigortalı olduğu şirketten talep eder. </w:t>
      </w:r>
    </w:p>
    <w:p w:rsidR="004804C8" w:rsidRDefault="004804C8" w:rsidP="004804C8">
      <w:pPr>
        <w:pStyle w:val="ListParagraph"/>
        <w:numPr>
          <w:ilvl w:val="0"/>
          <w:numId w:val="4"/>
        </w:numPr>
        <w:spacing w:after="60" w:line="264" w:lineRule="auto"/>
        <w:ind w:left="0" w:firstLine="397"/>
        <w:jc w:val="both"/>
        <w:rPr>
          <w:rFonts w:ascii="Souvenir Lt BT" w:hAnsi="Souvenir Lt BT"/>
          <w:b/>
          <w:i/>
          <w:sz w:val="21"/>
          <w:szCs w:val="21"/>
        </w:rPr>
      </w:pPr>
      <w:r>
        <w:rPr>
          <w:rFonts w:ascii="Souvenir Lt BT" w:hAnsi="Souvenir Lt BT"/>
          <w:b/>
          <w:i/>
          <w:sz w:val="21"/>
          <w:szCs w:val="21"/>
        </w:rPr>
        <w:t>Hasara Katılım (Çifte Sigorta)</w:t>
      </w:r>
    </w:p>
    <w:p w:rsidR="004804C8" w:rsidRDefault="004804C8" w:rsidP="004804C8">
      <w:pPr>
        <w:pStyle w:val="ListParagraph"/>
        <w:spacing w:after="60" w:line="264" w:lineRule="auto"/>
        <w:ind w:left="0" w:firstLine="397"/>
        <w:jc w:val="both"/>
        <w:rPr>
          <w:rFonts w:ascii="Souvenir Lt BT" w:hAnsi="Souvenir Lt BT"/>
          <w:sz w:val="21"/>
          <w:szCs w:val="21"/>
        </w:rPr>
      </w:pPr>
      <w:r>
        <w:rPr>
          <w:rFonts w:ascii="Souvenir Lt BT" w:hAnsi="Souvenir Lt BT"/>
          <w:sz w:val="21"/>
          <w:szCs w:val="21"/>
        </w:rPr>
        <w:t xml:space="preserve">Sigorta konusu, birden fazla sigortacıya sigorta ettirilmişse, zarar bu sigortacılar tarafından belli esaslar çerçevesinde karşılanacaktır. Hasara katılımda genel kural, sigortalının, tazminatı sigortacıların herhangi birinden talep etmesi, diğer sigortacılara </w:t>
      </w:r>
      <w:proofErr w:type="spellStart"/>
      <w:r>
        <w:rPr>
          <w:rFonts w:ascii="Souvenir Lt BT" w:hAnsi="Souvenir Lt BT"/>
          <w:sz w:val="21"/>
          <w:szCs w:val="21"/>
        </w:rPr>
        <w:t>rücü</w:t>
      </w:r>
      <w:proofErr w:type="spellEnd"/>
      <w:r>
        <w:rPr>
          <w:rFonts w:ascii="Souvenir Lt BT" w:hAnsi="Souvenir Lt BT"/>
          <w:sz w:val="21"/>
          <w:szCs w:val="21"/>
        </w:rPr>
        <w:t xml:space="preserve"> etmesi yönündedir. </w:t>
      </w:r>
    </w:p>
    <w:p w:rsidR="004804C8" w:rsidRDefault="004804C8" w:rsidP="004804C8">
      <w:pPr>
        <w:pStyle w:val="ListParagraph"/>
        <w:spacing w:after="60" w:line="264" w:lineRule="auto"/>
        <w:jc w:val="both"/>
        <w:rPr>
          <w:rFonts w:ascii="Souvenir Lt BT" w:hAnsi="Souvenir Lt BT"/>
          <w:b/>
          <w:i/>
          <w:sz w:val="21"/>
          <w:szCs w:val="21"/>
        </w:rPr>
      </w:pPr>
    </w:p>
    <w:p w:rsidR="004804C8" w:rsidRDefault="004804C8" w:rsidP="004804C8">
      <w:pPr>
        <w:pStyle w:val="ListParagraph"/>
        <w:numPr>
          <w:ilvl w:val="0"/>
          <w:numId w:val="4"/>
        </w:numPr>
        <w:spacing w:after="60" w:line="264" w:lineRule="auto"/>
        <w:ind w:left="0" w:firstLine="397"/>
        <w:jc w:val="both"/>
        <w:rPr>
          <w:rFonts w:ascii="Souvenir Lt BT" w:hAnsi="Souvenir Lt BT"/>
          <w:b/>
          <w:i/>
          <w:sz w:val="21"/>
          <w:szCs w:val="21"/>
        </w:rPr>
      </w:pPr>
      <w:r>
        <w:rPr>
          <w:rFonts w:ascii="Souvenir Lt BT" w:hAnsi="Souvenir Lt BT"/>
          <w:b/>
          <w:i/>
          <w:sz w:val="21"/>
          <w:szCs w:val="21"/>
        </w:rPr>
        <w:t>Hakların Devri İlkesi</w:t>
      </w:r>
    </w:p>
    <w:p w:rsidR="004804C8" w:rsidRPr="007029DB" w:rsidRDefault="004804C8" w:rsidP="004804C8">
      <w:pPr>
        <w:pStyle w:val="ListParagraph"/>
        <w:spacing w:after="60" w:line="264" w:lineRule="auto"/>
        <w:ind w:left="0" w:firstLine="397"/>
        <w:jc w:val="both"/>
        <w:rPr>
          <w:rFonts w:ascii="Souvenir Lt BT" w:hAnsi="Souvenir Lt BT"/>
          <w:sz w:val="21"/>
          <w:szCs w:val="21"/>
        </w:rPr>
      </w:pPr>
      <w:r>
        <w:rPr>
          <w:rFonts w:ascii="Souvenir Lt BT" w:hAnsi="Souvenir Lt BT"/>
          <w:sz w:val="21"/>
          <w:szCs w:val="21"/>
        </w:rPr>
        <w:lastRenderedPageBreak/>
        <w:t>Sigortacı, tazminat bedelini ödedikten sonra hukuken sigorta ettiren kimse yerine gelir. Sigortalının söz konusu hasardan dolayı üçüncü şahıslara karşı dava hakkı varsa, bu tazmin ettiği bedel nispetinde sigortacıya geçer.</w:t>
      </w:r>
    </w:p>
    <w:p w:rsidR="004804C8" w:rsidRDefault="004804C8" w:rsidP="004804C8">
      <w:pPr>
        <w:pStyle w:val="ListParagraph"/>
        <w:numPr>
          <w:ilvl w:val="0"/>
          <w:numId w:val="4"/>
        </w:numPr>
        <w:spacing w:after="60" w:line="264" w:lineRule="auto"/>
        <w:ind w:left="0" w:firstLine="397"/>
        <w:jc w:val="both"/>
        <w:rPr>
          <w:rFonts w:ascii="Souvenir Lt BT" w:hAnsi="Souvenir Lt BT"/>
          <w:b/>
          <w:i/>
          <w:sz w:val="21"/>
          <w:szCs w:val="21"/>
        </w:rPr>
      </w:pPr>
      <w:r>
        <w:rPr>
          <w:rFonts w:ascii="Souvenir Lt BT" w:hAnsi="Souvenir Lt BT"/>
          <w:b/>
          <w:i/>
          <w:sz w:val="21"/>
          <w:szCs w:val="21"/>
        </w:rPr>
        <w:t>Yasal Bir Rizikonun Varlığı</w:t>
      </w:r>
    </w:p>
    <w:p w:rsidR="004804C8" w:rsidRDefault="004804C8" w:rsidP="004804C8">
      <w:pPr>
        <w:pStyle w:val="ListParagraph"/>
        <w:spacing w:after="60" w:line="264" w:lineRule="auto"/>
        <w:ind w:left="397"/>
        <w:jc w:val="both"/>
        <w:rPr>
          <w:rFonts w:ascii="Souvenir Lt BT" w:hAnsi="Souvenir Lt BT"/>
          <w:sz w:val="21"/>
          <w:szCs w:val="21"/>
        </w:rPr>
      </w:pPr>
      <w:r>
        <w:rPr>
          <w:rFonts w:ascii="Souvenir Lt BT" w:hAnsi="Souvenir Lt BT"/>
          <w:sz w:val="21"/>
          <w:szCs w:val="21"/>
        </w:rPr>
        <w:t>Sigortayı teşkil eden olay, hukuki ve ahlaki olmalıdır.</w:t>
      </w:r>
    </w:p>
    <w:p w:rsidR="004804C8" w:rsidRDefault="004804C8" w:rsidP="004804C8">
      <w:pPr>
        <w:pStyle w:val="ListParagraph"/>
        <w:spacing w:after="60" w:line="264" w:lineRule="auto"/>
        <w:ind w:left="397"/>
        <w:jc w:val="both"/>
        <w:rPr>
          <w:rFonts w:ascii="Souvenir Lt BT" w:hAnsi="Souvenir Lt BT"/>
          <w:sz w:val="21"/>
          <w:szCs w:val="21"/>
        </w:rPr>
      </w:pPr>
    </w:p>
    <w:p w:rsidR="004804C8" w:rsidRDefault="004804C8" w:rsidP="004804C8">
      <w:pPr>
        <w:pStyle w:val="ListParagraph"/>
        <w:spacing w:after="60" w:line="264" w:lineRule="auto"/>
        <w:ind w:left="0" w:firstLine="426"/>
        <w:jc w:val="both"/>
        <w:rPr>
          <w:rFonts w:ascii="Souvenir Lt BT" w:hAnsi="Souvenir Lt BT"/>
          <w:sz w:val="21"/>
          <w:szCs w:val="21"/>
        </w:rPr>
      </w:pPr>
      <w:r w:rsidRPr="00F4152D">
        <w:rPr>
          <w:rFonts w:ascii="Souvenir Lt BT" w:hAnsi="Souvenir Lt BT"/>
          <w:sz w:val="21"/>
          <w:szCs w:val="21"/>
          <w:u w:val="single"/>
        </w:rPr>
        <w:t>Sigorta sisteminin ekonomik ve sosyal işlevleri şunlardır</w:t>
      </w:r>
      <w:r>
        <w:rPr>
          <w:rFonts w:ascii="Souvenir Lt BT" w:hAnsi="Souvenir Lt BT"/>
          <w:sz w:val="21"/>
          <w:szCs w:val="21"/>
        </w:rPr>
        <w:t xml:space="preserve"> (Sigorta Acenteleri Teknik Personel Eğitim Programı Ders Notları, </w:t>
      </w:r>
      <w:hyperlink r:id="rId5" w:history="1">
        <w:r w:rsidRPr="003C4C6C">
          <w:rPr>
            <w:rStyle w:val="Kpr"/>
            <w:rFonts w:ascii="Souvenir Lt BT" w:hAnsi="Souvenir Lt BT"/>
            <w:sz w:val="21"/>
            <w:szCs w:val="21"/>
          </w:rPr>
          <w:t>www.sigorta.org.tr</w:t>
        </w:r>
      </w:hyperlink>
      <w:r>
        <w:rPr>
          <w:rFonts w:ascii="Souvenir Lt BT" w:hAnsi="Souvenir Lt BT"/>
          <w:sz w:val="21"/>
          <w:szCs w:val="21"/>
        </w:rPr>
        <w:t>):</w:t>
      </w:r>
    </w:p>
    <w:p w:rsidR="004804C8" w:rsidRDefault="004804C8" w:rsidP="004804C8">
      <w:pPr>
        <w:pStyle w:val="ListParagraph"/>
        <w:numPr>
          <w:ilvl w:val="0"/>
          <w:numId w:val="5"/>
        </w:numPr>
        <w:spacing w:after="60" w:line="264" w:lineRule="auto"/>
        <w:jc w:val="both"/>
        <w:rPr>
          <w:rFonts w:ascii="Souvenir Lt BT" w:hAnsi="Souvenir Lt BT"/>
          <w:sz w:val="21"/>
          <w:szCs w:val="21"/>
        </w:rPr>
      </w:pPr>
      <w:r>
        <w:rPr>
          <w:rFonts w:ascii="Souvenir Lt BT" w:hAnsi="Souvenir Lt BT"/>
          <w:sz w:val="21"/>
          <w:szCs w:val="21"/>
        </w:rPr>
        <w:t>Fertlere ve kurumlara ekonomik ve sosyal hayatta öngörülebilirlik ve emniyet sağlar.</w:t>
      </w:r>
    </w:p>
    <w:p w:rsidR="004804C8" w:rsidRDefault="004804C8" w:rsidP="004804C8">
      <w:pPr>
        <w:pStyle w:val="ListParagraph"/>
        <w:numPr>
          <w:ilvl w:val="0"/>
          <w:numId w:val="5"/>
        </w:numPr>
        <w:spacing w:after="60" w:line="264" w:lineRule="auto"/>
        <w:jc w:val="both"/>
        <w:rPr>
          <w:rFonts w:ascii="Souvenir Lt BT" w:hAnsi="Souvenir Lt BT"/>
          <w:sz w:val="21"/>
          <w:szCs w:val="21"/>
        </w:rPr>
      </w:pPr>
      <w:r>
        <w:rPr>
          <w:rFonts w:ascii="Souvenir Lt BT" w:hAnsi="Souvenir Lt BT"/>
          <w:sz w:val="21"/>
          <w:szCs w:val="21"/>
        </w:rPr>
        <w:t xml:space="preserve">Kredi teminine yardım eder. </w:t>
      </w:r>
    </w:p>
    <w:p w:rsidR="004804C8" w:rsidRDefault="004804C8" w:rsidP="004804C8">
      <w:pPr>
        <w:pStyle w:val="ListParagraph"/>
        <w:numPr>
          <w:ilvl w:val="0"/>
          <w:numId w:val="5"/>
        </w:numPr>
        <w:spacing w:after="60" w:line="264" w:lineRule="auto"/>
        <w:jc w:val="both"/>
        <w:rPr>
          <w:rFonts w:ascii="Souvenir Lt BT" w:hAnsi="Souvenir Lt BT"/>
          <w:sz w:val="21"/>
          <w:szCs w:val="21"/>
        </w:rPr>
      </w:pPr>
      <w:r>
        <w:rPr>
          <w:rFonts w:ascii="Souvenir Lt BT" w:hAnsi="Souvenir Lt BT"/>
          <w:sz w:val="21"/>
          <w:szCs w:val="21"/>
        </w:rPr>
        <w:t>Tasarrufu geliştirir ve sermaye oluşumuna katkı sağlar.</w:t>
      </w:r>
    </w:p>
    <w:p w:rsidR="004804C8" w:rsidRDefault="004804C8" w:rsidP="004804C8">
      <w:pPr>
        <w:pStyle w:val="ListParagraph"/>
        <w:numPr>
          <w:ilvl w:val="0"/>
          <w:numId w:val="5"/>
        </w:numPr>
        <w:spacing w:after="60" w:line="264" w:lineRule="auto"/>
        <w:jc w:val="both"/>
        <w:rPr>
          <w:rFonts w:ascii="Souvenir Lt BT" w:hAnsi="Souvenir Lt BT"/>
          <w:sz w:val="21"/>
          <w:szCs w:val="21"/>
        </w:rPr>
      </w:pPr>
      <w:r>
        <w:rPr>
          <w:rFonts w:ascii="Souvenir Lt BT" w:hAnsi="Souvenir Lt BT"/>
          <w:sz w:val="21"/>
          <w:szCs w:val="21"/>
        </w:rPr>
        <w:t>Toplumda güven ve huzur tesis eder, dayanışmayı sağlar.</w:t>
      </w:r>
    </w:p>
    <w:p w:rsidR="004804C8" w:rsidRDefault="004804C8" w:rsidP="004804C8">
      <w:pPr>
        <w:pStyle w:val="ListParagraph"/>
        <w:numPr>
          <w:ilvl w:val="0"/>
          <w:numId w:val="5"/>
        </w:numPr>
        <w:spacing w:after="60" w:line="264" w:lineRule="auto"/>
        <w:jc w:val="both"/>
        <w:rPr>
          <w:rFonts w:ascii="Souvenir Lt BT" w:hAnsi="Souvenir Lt BT"/>
          <w:sz w:val="21"/>
          <w:szCs w:val="21"/>
        </w:rPr>
      </w:pPr>
      <w:r>
        <w:rPr>
          <w:rFonts w:ascii="Souvenir Lt BT" w:hAnsi="Souvenir Lt BT"/>
          <w:sz w:val="21"/>
          <w:szCs w:val="21"/>
        </w:rPr>
        <w:t>Uluslararası ilişkileri geliştirir.</w:t>
      </w:r>
    </w:p>
    <w:p w:rsidR="004804C8" w:rsidRDefault="004804C8" w:rsidP="004804C8">
      <w:pPr>
        <w:pStyle w:val="ListParagraph"/>
        <w:numPr>
          <w:ilvl w:val="0"/>
          <w:numId w:val="5"/>
        </w:numPr>
        <w:spacing w:after="60" w:line="264" w:lineRule="auto"/>
        <w:jc w:val="both"/>
        <w:rPr>
          <w:rFonts w:ascii="Souvenir Lt BT" w:hAnsi="Souvenir Lt BT"/>
          <w:sz w:val="21"/>
          <w:szCs w:val="21"/>
        </w:rPr>
      </w:pPr>
      <w:r>
        <w:rPr>
          <w:rFonts w:ascii="Souvenir Lt BT" w:hAnsi="Souvenir Lt BT"/>
          <w:sz w:val="21"/>
          <w:szCs w:val="21"/>
        </w:rPr>
        <w:t>Finansal istikrarı artırır.</w:t>
      </w:r>
    </w:p>
    <w:p w:rsidR="004804C8" w:rsidRDefault="004804C8" w:rsidP="004804C8">
      <w:pPr>
        <w:pStyle w:val="ListParagraph"/>
        <w:numPr>
          <w:ilvl w:val="0"/>
          <w:numId w:val="5"/>
        </w:numPr>
        <w:spacing w:after="60" w:line="264" w:lineRule="auto"/>
        <w:jc w:val="both"/>
        <w:rPr>
          <w:rFonts w:ascii="Souvenir Lt BT" w:hAnsi="Souvenir Lt BT"/>
          <w:sz w:val="21"/>
          <w:szCs w:val="21"/>
        </w:rPr>
      </w:pPr>
      <w:r>
        <w:rPr>
          <w:rFonts w:ascii="Souvenir Lt BT" w:hAnsi="Souvenir Lt BT"/>
          <w:sz w:val="21"/>
          <w:szCs w:val="21"/>
        </w:rPr>
        <w:t>Girişimleri ve ticareti destekler, iş sürekliliği sağlar.</w:t>
      </w:r>
    </w:p>
    <w:p w:rsidR="004804C8" w:rsidRDefault="004804C8" w:rsidP="004804C8">
      <w:pPr>
        <w:pStyle w:val="ListParagraph"/>
        <w:numPr>
          <w:ilvl w:val="0"/>
          <w:numId w:val="5"/>
        </w:numPr>
        <w:spacing w:after="60" w:line="264" w:lineRule="auto"/>
        <w:jc w:val="both"/>
        <w:rPr>
          <w:rFonts w:ascii="Souvenir Lt BT" w:hAnsi="Souvenir Lt BT"/>
          <w:sz w:val="21"/>
          <w:szCs w:val="21"/>
        </w:rPr>
      </w:pPr>
      <w:r>
        <w:rPr>
          <w:rFonts w:ascii="Souvenir Lt BT" w:hAnsi="Souvenir Lt BT"/>
          <w:sz w:val="21"/>
          <w:szCs w:val="21"/>
        </w:rPr>
        <w:t xml:space="preserve">Sosyal güvenlik programlarının üzerindeki baskıyı hafifletir. </w:t>
      </w:r>
    </w:p>
    <w:p w:rsidR="004804C8" w:rsidRDefault="004804C8" w:rsidP="004804C8">
      <w:pPr>
        <w:pStyle w:val="ListParagraph"/>
        <w:numPr>
          <w:ilvl w:val="0"/>
          <w:numId w:val="5"/>
        </w:numPr>
        <w:spacing w:after="60" w:line="264" w:lineRule="auto"/>
        <w:jc w:val="both"/>
        <w:rPr>
          <w:rFonts w:ascii="Souvenir Lt BT" w:hAnsi="Souvenir Lt BT"/>
          <w:sz w:val="21"/>
          <w:szCs w:val="21"/>
        </w:rPr>
      </w:pPr>
      <w:r>
        <w:rPr>
          <w:rFonts w:ascii="Souvenir Lt BT" w:hAnsi="Souvenir Lt BT"/>
          <w:sz w:val="21"/>
          <w:szCs w:val="21"/>
        </w:rPr>
        <w:t>Risklerin daha etkin yönetilmesini sağlar.</w:t>
      </w:r>
    </w:p>
    <w:p w:rsidR="004804C8" w:rsidRDefault="004804C8" w:rsidP="004804C8">
      <w:pPr>
        <w:pStyle w:val="ListParagraph"/>
        <w:numPr>
          <w:ilvl w:val="0"/>
          <w:numId w:val="5"/>
        </w:numPr>
        <w:spacing w:after="60" w:line="264" w:lineRule="auto"/>
        <w:jc w:val="both"/>
        <w:rPr>
          <w:rFonts w:ascii="Souvenir Lt BT" w:hAnsi="Souvenir Lt BT"/>
          <w:sz w:val="21"/>
          <w:szCs w:val="21"/>
        </w:rPr>
      </w:pPr>
      <w:r>
        <w:rPr>
          <w:rFonts w:ascii="Souvenir Lt BT" w:hAnsi="Souvenir Lt BT"/>
          <w:sz w:val="21"/>
          <w:szCs w:val="21"/>
        </w:rPr>
        <w:t>Finansal sistemin etkinliğini artırır.</w:t>
      </w:r>
    </w:p>
    <w:p w:rsidR="002B4863" w:rsidRDefault="004804C8">
      <w:bookmarkStart w:id="12" w:name="_GoBack"/>
      <w:bookmarkEnd w:id="12"/>
    </w:p>
    <w:sectPr w:rsidR="002B48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 w:name="Souvenir Lt BT">
    <w:altName w:val="Sitka Small"/>
    <w:charset w:val="00"/>
    <w:family w:val="roman"/>
    <w:pitch w:val="variable"/>
    <w:sig w:usb0="00000001"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76F"/>
    <w:multiLevelType w:val="hybridMultilevel"/>
    <w:tmpl w:val="7166BF92"/>
    <w:lvl w:ilvl="0" w:tplc="7E6A339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1E3A5834"/>
    <w:multiLevelType w:val="hybridMultilevel"/>
    <w:tmpl w:val="49D868A0"/>
    <w:lvl w:ilvl="0" w:tplc="25663CC2">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 w15:restartNumberingAfterBreak="0">
    <w:nsid w:val="20CE4742"/>
    <w:multiLevelType w:val="hybridMultilevel"/>
    <w:tmpl w:val="087CC62E"/>
    <w:lvl w:ilvl="0" w:tplc="590EF894">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 w15:restartNumberingAfterBreak="0">
    <w:nsid w:val="617808DE"/>
    <w:multiLevelType w:val="hybridMultilevel"/>
    <w:tmpl w:val="72F46F7C"/>
    <w:lvl w:ilvl="0" w:tplc="84EE1B02">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4" w15:restartNumberingAfterBreak="0">
    <w:nsid w:val="72115323"/>
    <w:multiLevelType w:val="hybridMultilevel"/>
    <w:tmpl w:val="E7B4832C"/>
    <w:lvl w:ilvl="0" w:tplc="0D9427B0">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4C8"/>
    <w:rsid w:val="00364817"/>
    <w:rsid w:val="004804C8"/>
    <w:rsid w:val="00723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43121-36E0-4CCA-92DA-AC9888F6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4C8"/>
    <w:pPr>
      <w:spacing w:after="200" w:line="276" w:lineRule="auto"/>
    </w:pPr>
    <w:rPr>
      <w:rFonts w:ascii="Calibri" w:eastAsia="Times New Roman" w:hAnsi="Calibri" w:cs="Times New Roman"/>
    </w:rPr>
  </w:style>
  <w:style w:type="paragraph" w:styleId="Balk1">
    <w:name w:val="heading 1"/>
    <w:basedOn w:val="Normal"/>
    <w:next w:val="Normal"/>
    <w:link w:val="Balk1Char"/>
    <w:uiPriority w:val="9"/>
    <w:qFormat/>
    <w:rsid w:val="00480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Paragraph">
    <w:name w:val="List Paragraph"/>
    <w:basedOn w:val="Normal"/>
    <w:rsid w:val="004804C8"/>
    <w:pPr>
      <w:ind w:left="720"/>
      <w:contextualSpacing/>
    </w:pPr>
  </w:style>
  <w:style w:type="character" w:styleId="Kpr">
    <w:name w:val="Hyperlink"/>
    <w:uiPriority w:val="99"/>
    <w:rsid w:val="004804C8"/>
    <w:rPr>
      <w:color w:val="0000FF"/>
      <w:u w:val="single"/>
    </w:rPr>
  </w:style>
  <w:style w:type="paragraph" w:customStyle="1" w:styleId="BALIK1">
    <w:name w:val="BAŞLIK1"/>
    <w:basedOn w:val="Balk1"/>
    <w:rsid w:val="004804C8"/>
    <w:pPr>
      <w:keepNext w:val="0"/>
      <w:keepLines w:val="0"/>
      <w:spacing w:before="300" w:after="240" w:line="264" w:lineRule="auto"/>
      <w:ind w:firstLine="397"/>
      <w:jc w:val="both"/>
    </w:pPr>
    <w:rPr>
      <w:rFonts w:ascii="Cambria" w:eastAsia="Calibri" w:hAnsi="Cambria" w:cs="Times New Roman"/>
      <w:b/>
      <w:color w:val="auto"/>
      <w:sz w:val="26"/>
      <w:szCs w:val="26"/>
    </w:rPr>
  </w:style>
  <w:style w:type="paragraph" w:customStyle="1" w:styleId="BALIK11">
    <w:name w:val="BAŞLIK1.1"/>
    <w:basedOn w:val="BALIK1"/>
    <w:rsid w:val="004804C8"/>
    <w:pPr>
      <w:spacing w:before="240" w:after="180"/>
      <w:outlineLvl w:val="1"/>
    </w:pPr>
    <w:rPr>
      <w:rFonts w:ascii="Arial Narrow" w:hAnsi="Arial Narrow"/>
      <w:sz w:val="24"/>
      <w:szCs w:val="24"/>
    </w:rPr>
  </w:style>
  <w:style w:type="character" w:customStyle="1" w:styleId="Balk1Char">
    <w:name w:val="Başlık 1 Char"/>
    <w:basedOn w:val="VarsaylanParagrafYazTipi"/>
    <w:link w:val="Balk1"/>
    <w:uiPriority w:val="9"/>
    <w:rsid w:val="004804C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gorta.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hsssSSss ..</dc:creator>
  <cp:keywords/>
  <dc:description/>
  <cp:lastModifiedBy>hsssSSss ..</cp:lastModifiedBy>
  <cp:revision>1</cp:revision>
  <cp:lastPrinted>2019-11-13T06:56:00Z</cp:lastPrinted>
  <dcterms:created xsi:type="dcterms:W3CDTF">2019-11-13T06:56:00Z</dcterms:created>
  <dcterms:modified xsi:type="dcterms:W3CDTF">2019-11-13T06:57:00Z</dcterms:modified>
</cp:coreProperties>
</file>