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29" w:rsidRPr="00531357" w:rsidRDefault="004C0029" w:rsidP="004C0029">
      <w:pPr>
        <w:pStyle w:val="BALIK1"/>
        <w:tabs>
          <w:tab w:val="left" w:pos="720"/>
        </w:tabs>
        <w:spacing w:line="480" w:lineRule="auto"/>
        <w:ind w:left="720" w:hanging="323"/>
        <w:jc w:val="left"/>
      </w:pPr>
      <w:bookmarkStart w:id="0" w:name="_Toc503173835"/>
      <w:bookmarkStart w:id="1" w:name="_Toc536438158"/>
      <w:bookmarkStart w:id="2" w:name="_Toc536438448"/>
      <w:bookmarkStart w:id="3" w:name="_Toc536438892"/>
      <w:r>
        <w:t>9.</w:t>
      </w:r>
      <w:r>
        <w:tab/>
        <w:t>TÜRKİYE’DE TARIM SİGORTALARI</w:t>
      </w:r>
      <w:r>
        <w:br/>
      </w:r>
      <w:r w:rsidRPr="00531357">
        <w:t>UYGUL</w:t>
      </w:r>
      <w:r w:rsidRPr="00531357">
        <w:t>A</w:t>
      </w:r>
      <w:r w:rsidRPr="00531357">
        <w:t>MALARINDA GÖZLENEN SORUNLAR</w:t>
      </w:r>
      <w:bookmarkEnd w:id="0"/>
      <w:bookmarkEnd w:id="1"/>
      <w:bookmarkEnd w:id="2"/>
      <w:bookmarkEnd w:id="3"/>
    </w:p>
    <w:p w:rsidR="004C0029" w:rsidRPr="00531357" w:rsidRDefault="004C0029" w:rsidP="004C0029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Türkiye’de tarım sigortalarının genel olarak uygulamasında aş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ğıdaki sorunlarla karşılaşılabilmektedir (</w:t>
      </w:r>
      <w:proofErr w:type="spellStart"/>
      <w:r w:rsidRPr="00531357">
        <w:rPr>
          <w:rFonts w:ascii="Souvenir Lt BT" w:hAnsi="Souvenir Lt BT"/>
          <w:sz w:val="21"/>
          <w:szCs w:val="21"/>
        </w:rPr>
        <w:t>Keskinkılıç</w:t>
      </w:r>
      <w:proofErr w:type="spellEnd"/>
      <w:r w:rsidRPr="00531357">
        <w:rPr>
          <w:rFonts w:ascii="Souvenir Lt BT" w:hAnsi="Souvenir Lt BT"/>
          <w:sz w:val="21"/>
          <w:szCs w:val="21"/>
        </w:rPr>
        <w:t>, 2013) (</w:t>
      </w:r>
      <w:proofErr w:type="spellStart"/>
      <w:r w:rsidRPr="00531357">
        <w:rPr>
          <w:rFonts w:ascii="Souvenir Lt BT" w:hAnsi="Souvenir Lt BT"/>
          <w:sz w:val="21"/>
          <w:szCs w:val="21"/>
        </w:rPr>
        <w:t>Tanrıvermiş</w:t>
      </w:r>
      <w:proofErr w:type="spellEnd"/>
      <w:r w:rsidRPr="00531357">
        <w:rPr>
          <w:rFonts w:ascii="Souvenir Lt BT" w:hAnsi="Souvenir Lt BT"/>
          <w:sz w:val="21"/>
          <w:szCs w:val="21"/>
        </w:rPr>
        <w:t>, 1994) (Çetin, 2007)</w:t>
      </w:r>
      <w:r>
        <w:rPr>
          <w:rFonts w:ascii="Souvenir Lt BT" w:hAnsi="Souvenir Lt BT"/>
          <w:sz w:val="21"/>
          <w:szCs w:val="21"/>
        </w:rPr>
        <w:t xml:space="preserve"> (Dinler ve Ark.)</w:t>
      </w:r>
      <w:r w:rsidRPr="00531357">
        <w:rPr>
          <w:rFonts w:ascii="Souvenir Lt BT" w:hAnsi="Souvenir Lt BT"/>
          <w:sz w:val="21"/>
          <w:szCs w:val="21"/>
        </w:rPr>
        <w:t>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Hasar oranlarının değerlemesi.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İstatistiksel bilgilerin yetersizliği.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Teknik eleman sorunu.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Türkiye tarım işlemelerinde teknoloji kullanım düzeyinin ilç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>ler, iller, bölgeler itibariyle değişiklik gösterebilmesinin tarım sigortaları sistemini olumsuz etkilemesi.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sigortaları konusunda eğitim ve araştırmaların yetersi</w:t>
      </w:r>
      <w:r w:rsidRPr="00531357">
        <w:rPr>
          <w:rFonts w:ascii="Souvenir Lt BT" w:hAnsi="Souvenir Lt BT"/>
          <w:sz w:val="21"/>
          <w:szCs w:val="21"/>
        </w:rPr>
        <w:t>z</w:t>
      </w:r>
      <w:r w:rsidRPr="00531357">
        <w:rPr>
          <w:rFonts w:ascii="Souvenir Lt BT" w:hAnsi="Souvenir Lt BT"/>
          <w:sz w:val="21"/>
          <w:szCs w:val="21"/>
        </w:rPr>
        <w:t>liği.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kesiminde gelir düşüklüğü.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lastRenderedPageBreak/>
        <w:t>Tarım kesiminde eğitim seviyesinin düşüklüğü.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sigortaları politikaları.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kesiminde sigorta bilincinin yeterince yerleşmemiş o</w:t>
      </w:r>
      <w:r w:rsidRPr="00531357">
        <w:rPr>
          <w:rFonts w:ascii="Souvenir Lt BT" w:hAnsi="Souvenir Lt BT"/>
          <w:sz w:val="21"/>
          <w:szCs w:val="21"/>
        </w:rPr>
        <w:t>l</w:t>
      </w:r>
      <w:r w:rsidRPr="00531357">
        <w:rPr>
          <w:rFonts w:ascii="Souvenir Lt BT" w:hAnsi="Souvenir Lt BT"/>
          <w:sz w:val="21"/>
          <w:szCs w:val="21"/>
        </w:rPr>
        <w:t>ması.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kredileri ile ürün ve hayvan sigortaları arasındaki ilişk</w:t>
      </w:r>
      <w:r w:rsidRPr="00531357">
        <w:rPr>
          <w:rFonts w:ascii="Souvenir Lt BT" w:hAnsi="Souvenir Lt BT"/>
          <w:sz w:val="21"/>
          <w:szCs w:val="21"/>
        </w:rPr>
        <w:t>i</w:t>
      </w:r>
      <w:r w:rsidRPr="00531357">
        <w:rPr>
          <w:rFonts w:ascii="Souvenir Lt BT" w:hAnsi="Souvenir Lt BT"/>
          <w:sz w:val="21"/>
          <w:szCs w:val="21"/>
        </w:rPr>
        <w:t xml:space="preserve">nin yeterince kurulamaması. 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 işletmelerinde arazi mülkiyet durumu ve arazilerin çok parçalı olması. Arazi kayıt sistemleri.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Tarımsal üretimdeki geniş çeşitlilik durumu.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Profesyonel </w:t>
      </w:r>
      <w:proofErr w:type="spellStart"/>
      <w:r w:rsidRPr="00531357">
        <w:rPr>
          <w:rFonts w:ascii="Souvenir Lt BT" w:hAnsi="Souvenir Lt BT"/>
          <w:sz w:val="21"/>
          <w:szCs w:val="21"/>
        </w:rPr>
        <w:t>reasürör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 ve </w:t>
      </w:r>
      <w:proofErr w:type="gramStart"/>
      <w:r w:rsidRPr="00531357">
        <w:rPr>
          <w:rFonts w:ascii="Souvenir Lt BT" w:hAnsi="Souvenir Lt BT"/>
          <w:sz w:val="21"/>
          <w:szCs w:val="21"/>
        </w:rPr>
        <w:t>reasürans</w:t>
      </w:r>
      <w:proofErr w:type="gramEnd"/>
      <w:r w:rsidRPr="00531357">
        <w:rPr>
          <w:rFonts w:ascii="Souvenir Lt BT" w:hAnsi="Souvenir Lt BT"/>
          <w:sz w:val="21"/>
          <w:szCs w:val="21"/>
        </w:rPr>
        <w:t xml:space="preserve"> desteği eksikliği.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bookmarkStart w:id="4" w:name="_GoBack"/>
      <w:bookmarkEnd w:id="4"/>
      <w:r w:rsidRPr="00531357">
        <w:rPr>
          <w:rFonts w:ascii="Souvenir Lt BT" w:hAnsi="Souvenir Lt BT"/>
          <w:sz w:val="21"/>
          <w:szCs w:val="21"/>
        </w:rPr>
        <w:t>Sigortacı, sigortalı ve teknik elemanların etik davranmasında karşılaşılabilen sorunlar.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Tarımda üretici örgütleri ve özellikle sigorta kooperatiflerinin yeterince geliştirilip, sisteme </w:t>
      </w:r>
      <w:proofErr w:type="gramStart"/>
      <w:r w:rsidRPr="00531357">
        <w:rPr>
          <w:rFonts w:ascii="Souvenir Lt BT" w:hAnsi="Souvenir Lt BT"/>
          <w:sz w:val="21"/>
          <w:szCs w:val="21"/>
        </w:rPr>
        <w:t>dahil</w:t>
      </w:r>
      <w:proofErr w:type="gramEnd"/>
      <w:r w:rsidRPr="00531357">
        <w:rPr>
          <w:rFonts w:ascii="Souvenir Lt BT" w:hAnsi="Souvenir Lt BT"/>
          <w:sz w:val="21"/>
          <w:szCs w:val="21"/>
        </w:rPr>
        <w:t xml:space="preserve"> edilmemeleri.</w:t>
      </w:r>
    </w:p>
    <w:p w:rsidR="004C0029" w:rsidRPr="00531357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Küçük tarım işletmelerinin girdi temini, üretim ve pazarlama sorunları.</w:t>
      </w:r>
    </w:p>
    <w:p w:rsidR="004C0029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lastRenderedPageBreak/>
        <w:t>Üreticilerin bölge ve ürün gruplarına göre sigorta duyarlılığı, prim ödeme istekliğinin bilinmemesi.</w:t>
      </w:r>
    </w:p>
    <w:p w:rsidR="004C0029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Risk analizlerinin yeterince yapılmamış olması.</w:t>
      </w:r>
    </w:p>
    <w:p w:rsidR="004C0029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Tarım eğitimi veren kurumlarda Tarım Sigortaları konularına dersler arasında yer verilmesi.</w:t>
      </w:r>
    </w:p>
    <w:p w:rsidR="004C0029" w:rsidRDefault="004C0029" w:rsidP="004C0029">
      <w:pPr>
        <w:pStyle w:val="ListParagraph"/>
        <w:numPr>
          <w:ilvl w:val="0"/>
          <w:numId w:val="13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Özellikle küçük tarım işletmelerine yönelik, bunları daha çok sistemin içine alabilecek alternatif destek sistemlerinin devreye konulmasındaki eksiklikler.</w:t>
      </w: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</w:pPr>
    </w:p>
    <w:p w:rsidR="004C0029" w:rsidRDefault="004C0029" w:rsidP="004C0029">
      <w:pPr>
        <w:pStyle w:val="ListParagraph"/>
        <w:tabs>
          <w:tab w:val="left" w:pos="720"/>
        </w:tabs>
        <w:spacing w:after="60" w:line="480" w:lineRule="auto"/>
        <w:jc w:val="both"/>
        <w:rPr>
          <w:rFonts w:ascii="Souvenir Lt BT" w:hAnsi="Souvenir Lt BT"/>
          <w:sz w:val="21"/>
          <w:szCs w:val="21"/>
        </w:rPr>
        <w:sectPr w:rsidR="004C0029" w:rsidSect="00187C1A">
          <w:pgSz w:w="8392" w:h="11907" w:code="11"/>
          <w:pgMar w:top="1247" w:right="1077" w:bottom="1247" w:left="1077" w:header="567" w:footer="0" w:gutter="0"/>
          <w:cols w:space="708"/>
          <w:titlePg/>
          <w:docGrid w:linePitch="360"/>
        </w:sectPr>
      </w:pPr>
    </w:p>
    <w:p w:rsidR="004C0029" w:rsidRPr="00531357" w:rsidRDefault="004C0029" w:rsidP="004C0029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</w:p>
    <w:p w:rsidR="004C0029" w:rsidRPr="00531357" w:rsidRDefault="004C0029" w:rsidP="004C0029">
      <w:pPr>
        <w:pStyle w:val="BALIK1"/>
        <w:spacing w:line="480" w:lineRule="auto"/>
      </w:pPr>
      <w:bookmarkStart w:id="5" w:name="_Toc503173836"/>
      <w:bookmarkStart w:id="6" w:name="_Toc536438159"/>
      <w:bookmarkStart w:id="7" w:name="_Toc536438449"/>
      <w:bookmarkStart w:id="8" w:name="_Toc536438893"/>
      <w:r w:rsidRPr="00531357">
        <w:t>10.SİGORTA EKSPERLİĞİ</w:t>
      </w:r>
      <w:bookmarkEnd w:id="5"/>
      <w:bookmarkEnd w:id="6"/>
      <w:bookmarkEnd w:id="7"/>
      <w:bookmarkEnd w:id="8"/>
    </w:p>
    <w:p w:rsidR="004C0029" w:rsidRPr="00531357" w:rsidRDefault="004C0029" w:rsidP="004C0029">
      <w:pPr>
        <w:pStyle w:val="BALIK11"/>
        <w:spacing w:line="480" w:lineRule="auto"/>
      </w:pPr>
      <w:bookmarkStart w:id="9" w:name="_Toc503173837"/>
      <w:bookmarkStart w:id="10" w:name="_Toc536438160"/>
      <w:bookmarkStart w:id="11" w:name="_Toc536438450"/>
      <w:bookmarkStart w:id="12" w:name="_Toc536438894"/>
      <w:r w:rsidRPr="00531357">
        <w:t>10.1.Sigorta Eksperinin Tanımı ve Dalları</w:t>
      </w:r>
      <w:bookmarkEnd w:id="9"/>
      <w:bookmarkEnd w:id="10"/>
      <w:bookmarkEnd w:id="11"/>
      <w:bookmarkEnd w:id="12"/>
    </w:p>
    <w:p w:rsidR="004C0029" w:rsidRPr="00531357" w:rsidRDefault="004C0029" w:rsidP="004C0029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Sigorta Eksperi; sigortalının, sigorta ettirmek istediği işlerle ilgili beyanlarını, risk ön incelemesi ve sigortaya kabul anlamında incel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 xml:space="preserve">meyi ya da hasarların neden, nitelik ve miktarlarını belirlemeyi meslek olarak seçmiş kişilerdir. </w:t>
      </w:r>
      <w:r>
        <w:rPr>
          <w:rFonts w:ascii="Souvenir Lt BT" w:hAnsi="Souvenir Lt BT"/>
          <w:sz w:val="21"/>
          <w:szCs w:val="21"/>
        </w:rPr>
        <w:t xml:space="preserve">Sigorta </w:t>
      </w:r>
      <w:proofErr w:type="gramStart"/>
      <w:r>
        <w:rPr>
          <w:rFonts w:ascii="Souvenir Lt BT" w:hAnsi="Souvenir Lt BT"/>
          <w:sz w:val="21"/>
          <w:szCs w:val="21"/>
        </w:rPr>
        <w:t>eksperlerinin</w:t>
      </w:r>
      <w:proofErr w:type="gramEnd"/>
      <w:r>
        <w:rPr>
          <w:rFonts w:ascii="Souvenir Lt BT" w:hAnsi="Souvenir Lt BT"/>
          <w:sz w:val="21"/>
          <w:szCs w:val="21"/>
        </w:rPr>
        <w:t>; dürüst, kültürlü, temsil kabiliyetine sahip, ikna yönü kuvvetli, sabırlı ve sempatik, sonuç alma adamı, sezgi kabiliyetine sahip olabilmeleri beklenir.</w:t>
      </w:r>
    </w:p>
    <w:p w:rsidR="004C0029" w:rsidRPr="00531357" w:rsidRDefault="004C0029" w:rsidP="004C0029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Eksperler uzmanlık alanlarına göre ikiye ayrılır:</w:t>
      </w:r>
    </w:p>
    <w:p w:rsidR="004C0029" w:rsidRPr="00531357" w:rsidRDefault="004C0029" w:rsidP="004C0029">
      <w:pPr>
        <w:pStyle w:val="ListParagraph"/>
        <w:numPr>
          <w:ilvl w:val="0"/>
          <w:numId w:val="14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Risk inceleme </w:t>
      </w:r>
      <w:proofErr w:type="gramStart"/>
      <w:r w:rsidRPr="00531357">
        <w:rPr>
          <w:rFonts w:ascii="Souvenir Lt BT" w:hAnsi="Souvenir Lt BT"/>
          <w:sz w:val="21"/>
          <w:szCs w:val="21"/>
        </w:rPr>
        <w:t>eksperi</w:t>
      </w:r>
      <w:proofErr w:type="gramEnd"/>
    </w:p>
    <w:p w:rsidR="004C0029" w:rsidRPr="00531357" w:rsidRDefault="004C0029" w:rsidP="004C0029">
      <w:pPr>
        <w:pStyle w:val="ListParagraph"/>
        <w:numPr>
          <w:ilvl w:val="0"/>
          <w:numId w:val="14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Hasar </w:t>
      </w:r>
      <w:proofErr w:type="gramStart"/>
      <w:r w:rsidRPr="00531357">
        <w:rPr>
          <w:rFonts w:ascii="Souvenir Lt BT" w:hAnsi="Souvenir Lt BT"/>
          <w:sz w:val="21"/>
          <w:szCs w:val="21"/>
        </w:rPr>
        <w:t>eksperi</w:t>
      </w:r>
      <w:proofErr w:type="gramEnd"/>
    </w:p>
    <w:p w:rsidR="004C0029" w:rsidRPr="00531357" w:rsidRDefault="004C0029" w:rsidP="004C0029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Risk inceleme </w:t>
      </w:r>
      <w:proofErr w:type="gramStart"/>
      <w:r w:rsidRPr="00531357">
        <w:rPr>
          <w:rFonts w:ascii="Souvenir Lt BT" w:hAnsi="Souvenir Lt BT"/>
          <w:sz w:val="21"/>
          <w:szCs w:val="21"/>
        </w:rPr>
        <w:t>eksperi</w:t>
      </w:r>
      <w:proofErr w:type="gramEnd"/>
      <w:r w:rsidRPr="00531357">
        <w:rPr>
          <w:rFonts w:ascii="Souvenir Lt BT" w:hAnsi="Souvenir Lt BT"/>
          <w:sz w:val="21"/>
          <w:szCs w:val="21"/>
        </w:rPr>
        <w:t>; sigorta sözleşmesinin oluşturulması aşam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 xml:space="preserve">larında, sigorta ettirilmek istenenlerle ilgili, yerinde inceleme yaparak, sigortacıya devredilmek istenen risk hakkında rapor sunar. </w:t>
      </w:r>
    </w:p>
    <w:p w:rsidR="004C0029" w:rsidRPr="00531357" w:rsidRDefault="004C0029" w:rsidP="004C0029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Hasar </w:t>
      </w:r>
      <w:proofErr w:type="gramStart"/>
      <w:r w:rsidRPr="00531357">
        <w:rPr>
          <w:rFonts w:ascii="Souvenir Lt BT" w:hAnsi="Souvenir Lt BT"/>
          <w:sz w:val="21"/>
          <w:szCs w:val="21"/>
        </w:rPr>
        <w:t>eksperi</w:t>
      </w:r>
      <w:proofErr w:type="gramEnd"/>
      <w:r w:rsidRPr="00531357">
        <w:rPr>
          <w:rFonts w:ascii="Souvenir Lt BT" w:hAnsi="Souvenir Lt BT"/>
          <w:sz w:val="21"/>
          <w:szCs w:val="21"/>
        </w:rPr>
        <w:t xml:space="preserve">; risk gerçekleştiğinde, sigorta ettirenin, riskin hemen öncesi ve sonrası değerlerini belirler. Hasar </w:t>
      </w:r>
      <w:proofErr w:type="gramStart"/>
      <w:r w:rsidRPr="00531357">
        <w:rPr>
          <w:rFonts w:ascii="Souvenir Lt BT" w:hAnsi="Souvenir Lt BT"/>
          <w:sz w:val="21"/>
          <w:szCs w:val="21"/>
        </w:rPr>
        <w:t>eksperinin</w:t>
      </w:r>
      <w:proofErr w:type="gramEnd"/>
      <w:r w:rsidRPr="00531357">
        <w:rPr>
          <w:rFonts w:ascii="Souvenir Lt BT" w:hAnsi="Souvenir Lt BT"/>
          <w:sz w:val="21"/>
          <w:szCs w:val="21"/>
        </w:rPr>
        <w:t xml:space="preserve"> zararı belirle</w:t>
      </w:r>
      <w:r w:rsidRPr="00531357">
        <w:rPr>
          <w:rFonts w:ascii="Souvenir Lt BT" w:hAnsi="Souvenir Lt BT"/>
          <w:sz w:val="21"/>
          <w:szCs w:val="21"/>
        </w:rPr>
        <w:t>n</w:t>
      </w:r>
      <w:r w:rsidRPr="00531357">
        <w:rPr>
          <w:rFonts w:ascii="Souvenir Lt BT" w:hAnsi="Souvenir Lt BT"/>
          <w:sz w:val="21"/>
          <w:szCs w:val="21"/>
        </w:rPr>
        <w:t>mek için yerinde yaptığı işleme EKSPERTİZ, düzenlediği rapora ise EKSPERTİZ RAPORU denir</w:t>
      </w:r>
      <w:r>
        <w:rPr>
          <w:rFonts w:ascii="Souvenir Lt BT" w:hAnsi="Souvenir Lt BT"/>
          <w:sz w:val="21"/>
          <w:szCs w:val="21"/>
        </w:rPr>
        <w:t xml:space="preserve"> (Anonim, 2008)</w:t>
      </w:r>
      <w:r w:rsidRPr="00531357">
        <w:rPr>
          <w:rFonts w:ascii="Souvenir Lt BT" w:hAnsi="Souvenir Lt BT"/>
          <w:sz w:val="21"/>
          <w:szCs w:val="21"/>
        </w:rPr>
        <w:t>.</w:t>
      </w:r>
      <w:r>
        <w:rPr>
          <w:rFonts w:ascii="Souvenir Lt BT" w:hAnsi="Souvenir Lt BT"/>
          <w:sz w:val="21"/>
          <w:szCs w:val="21"/>
        </w:rPr>
        <w:t xml:space="preserve"> Sigorta eksperinin, </w:t>
      </w:r>
      <w:proofErr w:type="gramStart"/>
      <w:r>
        <w:rPr>
          <w:rFonts w:ascii="Souvenir Lt BT" w:hAnsi="Souvenir Lt BT"/>
          <w:sz w:val="21"/>
          <w:szCs w:val="21"/>
        </w:rPr>
        <w:t>ekspertiz</w:t>
      </w:r>
      <w:proofErr w:type="gramEnd"/>
      <w:r>
        <w:rPr>
          <w:rFonts w:ascii="Souvenir Lt BT" w:hAnsi="Souvenir Lt BT"/>
          <w:sz w:val="21"/>
          <w:szCs w:val="21"/>
        </w:rPr>
        <w:t xml:space="preserve"> faaliyeti sonucunda belirlenen hasar rakamı kesindir. Pazarlık ve maddi hasar hatası bulunmadıkça, keyfi indirimler uygulanamaz.</w:t>
      </w:r>
      <w:r w:rsidRPr="00531357">
        <w:rPr>
          <w:rFonts w:ascii="Souvenir Lt BT" w:hAnsi="Souvenir Lt BT"/>
          <w:sz w:val="21"/>
          <w:szCs w:val="21"/>
        </w:rPr>
        <w:t xml:space="preserve"> </w:t>
      </w:r>
    </w:p>
    <w:p w:rsidR="004C0029" w:rsidRPr="00531357" w:rsidRDefault="004C0029" w:rsidP="004C0029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Ekspertiz bir uzmanlık işi olup, üç temel bilgiye dayanır:</w:t>
      </w:r>
    </w:p>
    <w:p w:rsidR="004C0029" w:rsidRDefault="004C0029" w:rsidP="004C0029">
      <w:pPr>
        <w:pStyle w:val="ListParagraph"/>
        <w:numPr>
          <w:ilvl w:val="0"/>
          <w:numId w:val="15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Eğitim ve deneyim</w:t>
      </w:r>
    </w:p>
    <w:p w:rsidR="004C0029" w:rsidRPr="00531357" w:rsidRDefault="004C0029" w:rsidP="004C0029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 xml:space="preserve">Sigorta poliçesinin şartlarına vakıf olan, sadece </w:t>
      </w:r>
      <w:proofErr w:type="gramStart"/>
      <w:r>
        <w:rPr>
          <w:rFonts w:ascii="Souvenir Lt BT" w:hAnsi="Souvenir Lt BT"/>
          <w:sz w:val="21"/>
          <w:szCs w:val="21"/>
        </w:rPr>
        <w:t>eksperliği</w:t>
      </w:r>
      <w:proofErr w:type="gramEnd"/>
      <w:r>
        <w:rPr>
          <w:rFonts w:ascii="Souvenir Lt BT" w:hAnsi="Souvenir Lt BT"/>
          <w:sz w:val="21"/>
          <w:szCs w:val="21"/>
        </w:rPr>
        <w:t xml:space="preserve"> meslek edinmek.</w:t>
      </w:r>
    </w:p>
    <w:p w:rsidR="004C0029" w:rsidRDefault="004C0029" w:rsidP="004C0029">
      <w:pPr>
        <w:pStyle w:val="ListParagraph"/>
        <w:numPr>
          <w:ilvl w:val="0"/>
          <w:numId w:val="15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Mevzuat bilgisi</w:t>
      </w:r>
    </w:p>
    <w:p w:rsidR="004C0029" w:rsidRPr="00E30984" w:rsidRDefault="004C0029" w:rsidP="004C0029">
      <w:pPr>
        <w:pStyle w:val="ListParagraph"/>
        <w:spacing w:after="60" w:line="480" w:lineRule="auto"/>
        <w:ind w:left="0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Bilgisine dayanılarak görüşüne başvurulan.</w:t>
      </w:r>
    </w:p>
    <w:p w:rsidR="004C0029" w:rsidRDefault="004C0029" w:rsidP="004C0029">
      <w:pPr>
        <w:pStyle w:val="ListParagraph"/>
        <w:numPr>
          <w:ilvl w:val="0"/>
          <w:numId w:val="15"/>
        </w:numPr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lastRenderedPageBreak/>
        <w:t>Objektif davranmak.</w:t>
      </w:r>
    </w:p>
    <w:p w:rsidR="004C0029" w:rsidRDefault="004C0029" w:rsidP="004C0029">
      <w:pPr>
        <w:pStyle w:val="ListParagraph"/>
        <w:spacing w:after="60" w:line="480" w:lineRule="auto"/>
        <w:ind w:left="0" w:firstLine="397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Sigortacının ve sigortalının güvenini kazanmış. Tarafsızlık içinde hasarı tespit ve takdir eden.</w:t>
      </w:r>
    </w:p>
    <w:p w:rsidR="002B4863" w:rsidRPr="004C0029" w:rsidRDefault="00E473FC" w:rsidP="004C0029">
      <w:pPr>
        <w:spacing w:line="480" w:lineRule="auto"/>
      </w:pPr>
    </w:p>
    <w:sectPr w:rsidR="002B4863" w:rsidRPr="004C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3FC" w:rsidRDefault="00E473FC" w:rsidP="004C0029">
      <w:pPr>
        <w:spacing w:after="0" w:line="240" w:lineRule="auto"/>
      </w:pPr>
      <w:r>
        <w:separator/>
      </w:r>
    </w:p>
  </w:endnote>
  <w:endnote w:type="continuationSeparator" w:id="0">
    <w:p w:rsidR="00E473FC" w:rsidRDefault="00E473FC" w:rsidP="004C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oa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3FC" w:rsidRDefault="00E473FC" w:rsidP="004C0029">
      <w:pPr>
        <w:spacing w:after="0" w:line="240" w:lineRule="auto"/>
      </w:pPr>
      <w:r>
        <w:separator/>
      </w:r>
    </w:p>
  </w:footnote>
  <w:footnote w:type="continuationSeparator" w:id="0">
    <w:p w:rsidR="00E473FC" w:rsidRDefault="00E473FC" w:rsidP="004C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2F"/>
    <w:multiLevelType w:val="hybridMultilevel"/>
    <w:tmpl w:val="A0DEE834"/>
    <w:lvl w:ilvl="0" w:tplc="A99C4B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BD21D4"/>
    <w:multiLevelType w:val="hybridMultilevel"/>
    <w:tmpl w:val="D5F0E7FA"/>
    <w:lvl w:ilvl="0" w:tplc="BA3ADD4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4920B4C"/>
    <w:multiLevelType w:val="hybridMultilevel"/>
    <w:tmpl w:val="9AFAFAE0"/>
    <w:lvl w:ilvl="0" w:tplc="4E2AF2C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13112C4E"/>
    <w:multiLevelType w:val="hybridMultilevel"/>
    <w:tmpl w:val="5CE07F1A"/>
    <w:lvl w:ilvl="0" w:tplc="1166F0D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32154FD"/>
    <w:multiLevelType w:val="hybridMultilevel"/>
    <w:tmpl w:val="F1EEF9BA"/>
    <w:lvl w:ilvl="0" w:tplc="4484E94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4AE5AFA"/>
    <w:multiLevelType w:val="hybridMultilevel"/>
    <w:tmpl w:val="F3E2B288"/>
    <w:lvl w:ilvl="0" w:tplc="98A8DB1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03607D"/>
    <w:multiLevelType w:val="hybridMultilevel"/>
    <w:tmpl w:val="20DA9328"/>
    <w:lvl w:ilvl="0" w:tplc="0BE8371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5111B1E"/>
    <w:multiLevelType w:val="hybridMultilevel"/>
    <w:tmpl w:val="BAD64AA6"/>
    <w:lvl w:ilvl="0" w:tplc="12A4A3B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1D67F0E"/>
    <w:multiLevelType w:val="hybridMultilevel"/>
    <w:tmpl w:val="374CDE4C"/>
    <w:lvl w:ilvl="0" w:tplc="041F0017">
      <w:start w:val="1"/>
      <w:numFmt w:val="lowerLetter"/>
      <w:lvlText w:val="%1)"/>
      <w:lvlJc w:val="left"/>
      <w:pPr>
        <w:ind w:left="1117" w:hanging="360"/>
      </w:pPr>
    </w:lvl>
    <w:lvl w:ilvl="1" w:tplc="041F0019" w:tentative="1">
      <w:start w:val="1"/>
      <w:numFmt w:val="lowerLetter"/>
      <w:lvlText w:val="%2."/>
      <w:lvlJc w:val="left"/>
      <w:pPr>
        <w:ind w:left="1837" w:hanging="360"/>
      </w:p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428E006B"/>
    <w:multiLevelType w:val="hybridMultilevel"/>
    <w:tmpl w:val="631E0FD8"/>
    <w:lvl w:ilvl="0" w:tplc="0F54697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76E08A4"/>
    <w:multiLevelType w:val="hybridMultilevel"/>
    <w:tmpl w:val="0C766C80"/>
    <w:lvl w:ilvl="0" w:tplc="338AB1A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GenoaRoman" w:hAnsi="GenoaRoman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GenoaRoman" w:hAnsi="GenoaRoman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GenoaRoman" w:hAnsi="GenoaRoman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A070B9"/>
    <w:multiLevelType w:val="hybridMultilevel"/>
    <w:tmpl w:val="54E43B14"/>
    <w:lvl w:ilvl="0" w:tplc="4D46ECF6">
      <w:start w:val="3"/>
      <w:numFmt w:val="bullet"/>
      <w:lvlText w:val="-"/>
      <w:lvlJc w:val="left"/>
      <w:pPr>
        <w:ind w:left="1080" w:hanging="360"/>
      </w:pPr>
      <w:rPr>
        <w:rFonts w:ascii="Souvenir Lt BT" w:eastAsia="Times New Roman" w:hAnsi="Souvenir Lt B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CE6E1B"/>
    <w:multiLevelType w:val="hybridMultilevel"/>
    <w:tmpl w:val="6C346FC4"/>
    <w:lvl w:ilvl="0" w:tplc="D2F81A3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01425D5"/>
    <w:multiLevelType w:val="hybridMultilevel"/>
    <w:tmpl w:val="E2D0D772"/>
    <w:lvl w:ilvl="0" w:tplc="BFA47D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27B1D00"/>
    <w:multiLevelType w:val="hybridMultilevel"/>
    <w:tmpl w:val="7D42C4F8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0" w:hanging="360"/>
      </w:pPr>
      <w:rPr>
        <w:rFonts w:ascii="GenoaRoman" w:hAnsi="GenoaRoman" w:hint="default"/>
      </w:rPr>
    </w:lvl>
    <w:lvl w:ilvl="2" w:tplc="041F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GenoaRoman" w:hAnsi="GenoaRoman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GenoaRoman" w:hAnsi="GenoaRoman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3"/>
  </w:num>
  <w:num w:numId="5">
    <w:abstractNumId w:val="5"/>
  </w:num>
  <w:num w:numId="6">
    <w:abstractNumId w:val="11"/>
  </w:num>
  <w:num w:numId="7">
    <w:abstractNumId w:val="8"/>
  </w:num>
  <w:num w:numId="8">
    <w:abstractNumId w:val="14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IwMTU1NbcwNzVQ0lEKTi0uzszPAykwrAUASpcN2iwAAAA="/>
  </w:docVars>
  <w:rsids>
    <w:rsidRoot w:val="000E2F73"/>
    <w:rsid w:val="000A03D5"/>
    <w:rsid w:val="000E2F73"/>
    <w:rsid w:val="00364817"/>
    <w:rsid w:val="004C0029"/>
    <w:rsid w:val="005B58D7"/>
    <w:rsid w:val="00723308"/>
    <w:rsid w:val="009412DD"/>
    <w:rsid w:val="00E4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6E23"/>
  <w15:chartTrackingRefBased/>
  <w15:docId w15:val="{B80B2C98-7867-4D4E-A87A-62F16980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F73"/>
    <w:pPr>
      <w:spacing w:after="200" w:line="276" w:lineRule="auto"/>
    </w:pPr>
    <w:rPr>
      <w:rFonts w:ascii="Calibri" w:eastAsia="Times New Roman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0E2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rsid w:val="000E2F73"/>
    <w:pPr>
      <w:ind w:left="720"/>
      <w:contextualSpacing/>
    </w:pPr>
  </w:style>
  <w:style w:type="paragraph" w:customStyle="1" w:styleId="BALIK1">
    <w:name w:val="BAŞLIK1"/>
    <w:basedOn w:val="Balk1"/>
    <w:rsid w:val="000E2F73"/>
    <w:pPr>
      <w:keepNext w:val="0"/>
      <w:keepLines w:val="0"/>
      <w:spacing w:before="300" w:after="240" w:line="264" w:lineRule="auto"/>
      <w:ind w:firstLine="397"/>
      <w:jc w:val="both"/>
    </w:pPr>
    <w:rPr>
      <w:rFonts w:ascii="Cambria" w:eastAsia="Calibri" w:hAnsi="Cambria" w:cs="Times New Roman"/>
      <w:b/>
      <w:color w:val="auto"/>
      <w:sz w:val="26"/>
      <w:szCs w:val="26"/>
    </w:rPr>
  </w:style>
  <w:style w:type="paragraph" w:customStyle="1" w:styleId="BALIK11">
    <w:name w:val="BAŞLIK1.1"/>
    <w:basedOn w:val="BALIK1"/>
    <w:rsid w:val="000E2F73"/>
    <w:pPr>
      <w:spacing w:before="240" w:after="180"/>
      <w:outlineLvl w:val="1"/>
    </w:pPr>
    <w:rPr>
      <w:rFonts w:ascii="Arial Narrow" w:hAnsi="Arial Narrow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E2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istParagraph">
    <w:name w:val="List Paragraph"/>
    <w:basedOn w:val="Normal"/>
    <w:rsid w:val="000A03D5"/>
    <w:pPr>
      <w:ind w:left="720"/>
      <w:contextualSpacing/>
    </w:pPr>
  </w:style>
  <w:style w:type="paragraph" w:styleId="a">
    <w:basedOn w:val="Normal"/>
    <w:next w:val="stBilgi"/>
    <w:link w:val="stbilgiChar"/>
    <w:rsid w:val="004C0029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</w:rPr>
  </w:style>
  <w:style w:type="character" w:customStyle="1" w:styleId="stbilgiChar">
    <w:name w:val="Üstbilgi Char"/>
    <w:link w:val="a"/>
    <w:locked/>
    <w:rsid w:val="004C0029"/>
    <w:rPr>
      <w:rFonts w:ascii="Calibri" w:hAnsi="Calibri"/>
      <w:sz w:val="22"/>
      <w:szCs w:val="22"/>
      <w:lang w:val="tr-TR" w:eastAsia="en-US" w:bidi="ar-SA"/>
    </w:rPr>
  </w:style>
  <w:style w:type="character" w:styleId="SayfaNumaras">
    <w:name w:val="page number"/>
    <w:basedOn w:val="VarsaylanParagrafYazTipi"/>
    <w:rsid w:val="004C0029"/>
  </w:style>
  <w:style w:type="paragraph" w:styleId="stBilgi">
    <w:name w:val="header"/>
    <w:basedOn w:val="Normal"/>
    <w:link w:val="stBilgiChar0"/>
    <w:uiPriority w:val="99"/>
    <w:unhideWhenUsed/>
    <w:rsid w:val="004C0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4C0029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C0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002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hsssSSss ..</dc:creator>
  <cp:keywords/>
  <dc:description/>
  <cp:lastModifiedBy>hsssSSss ..</cp:lastModifiedBy>
  <cp:revision>2</cp:revision>
  <dcterms:created xsi:type="dcterms:W3CDTF">2019-11-13T07:03:00Z</dcterms:created>
  <dcterms:modified xsi:type="dcterms:W3CDTF">2019-11-13T07:03:00Z</dcterms:modified>
</cp:coreProperties>
</file>