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2B818" w14:textId="4EDC5A87" w:rsidR="009300B8" w:rsidRPr="001E552E" w:rsidRDefault="00AD60EA" w:rsidP="00AD60EA">
      <w:pPr>
        <w:pStyle w:val="Default"/>
        <w:tabs>
          <w:tab w:val="left" w:pos="6972"/>
        </w:tabs>
        <w:rPr>
          <w:rFonts w:ascii="Tahoma" w:hAnsi="Tahoma" w:cs="Tahoma"/>
          <w:b/>
          <w:bCs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ab/>
      </w:r>
    </w:p>
    <w:p w14:paraId="7D1D23CE" w14:textId="1B611BFB" w:rsidR="00B82EA5" w:rsidRPr="001E552E" w:rsidRDefault="00B82EA5" w:rsidP="00F04F4D">
      <w:pPr>
        <w:pStyle w:val="Default"/>
        <w:jc w:val="center"/>
        <w:rPr>
          <w:rFonts w:ascii="Tahoma" w:hAnsi="Tahoma" w:cs="Tahoma"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>ANKARA ÜNİVERSİTESİ</w:t>
      </w:r>
    </w:p>
    <w:p w14:paraId="61F38135" w14:textId="77777777" w:rsidR="00B82EA5" w:rsidRPr="001E552E" w:rsidRDefault="00B82EA5" w:rsidP="00B82EA5">
      <w:pPr>
        <w:pStyle w:val="Default"/>
        <w:jc w:val="center"/>
        <w:rPr>
          <w:rFonts w:ascii="Tahoma" w:hAnsi="Tahoma" w:cs="Tahoma"/>
          <w:b/>
          <w:bCs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>EĞİTİM BİLİMLERİ FAKÜLTESİ</w:t>
      </w:r>
    </w:p>
    <w:p w14:paraId="55B0B355" w14:textId="1E1410D5" w:rsidR="001B49FD" w:rsidRPr="001E552E" w:rsidRDefault="009300B8" w:rsidP="00B82EA5">
      <w:pPr>
        <w:pStyle w:val="Default"/>
        <w:jc w:val="center"/>
        <w:rPr>
          <w:rFonts w:ascii="Tahoma" w:hAnsi="Tahoma" w:cs="Tahoma"/>
          <w:b/>
          <w:bCs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 xml:space="preserve">Rehberlik ve Psikolojik Danışmanlık </w:t>
      </w:r>
      <w:r w:rsidR="00F667EC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 xml:space="preserve">Lisans </w:t>
      </w: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>Programı</w:t>
      </w:r>
    </w:p>
    <w:p w14:paraId="76DC9EFD" w14:textId="77777777" w:rsidR="00F7585C" w:rsidRPr="001E552E" w:rsidRDefault="00F7585C" w:rsidP="00B82EA5">
      <w:pPr>
        <w:pStyle w:val="Default"/>
        <w:jc w:val="center"/>
        <w:rPr>
          <w:rFonts w:ascii="Tahoma" w:hAnsi="Tahoma" w:cs="Tahoma"/>
          <w:color w:val="auto"/>
          <w:sz w:val="22"/>
          <w:szCs w:val="22"/>
          <w:lang w:val="tr-TR"/>
        </w:rPr>
      </w:pPr>
    </w:p>
    <w:tbl>
      <w:tblPr>
        <w:tblStyle w:val="OrtaKlavuz3-Vurgu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945"/>
        <w:gridCol w:w="2366"/>
        <w:gridCol w:w="4107"/>
      </w:tblGrid>
      <w:tr w:rsidR="00B82EA5" w:rsidRPr="001E552E" w14:paraId="1FDAD115" w14:textId="77777777" w:rsidTr="00930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</w:tcPr>
          <w:p w14:paraId="20724290" w14:textId="3F9ECDCD" w:rsidR="00F7585C" w:rsidRPr="001E552E" w:rsidRDefault="00F4008A" w:rsidP="00995528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2019-2020 </w:t>
            </w:r>
            <w:r w:rsidR="00B75616"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>Güz</w:t>
            </w:r>
            <w:r w:rsidR="00B82EA5"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 Dönemi</w:t>
            </w:r>
          </w:p>
          <w:p w14:paraId="5A704383" w14:textId="01A282F8" w:rsidR="00B82EA5" w:rsidRPr="001E552E" w:rsidRDefault="005D2428" w:rsidP="00B75616">
            <w:pPr>
              <w:pStyle w:val="Default"/>
              <w:jc w:val="center"/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tr-TR"/>
              </w:rPr>
              <w:t>SKR012 Kariyer Bilgi Kaynakları</w:t>
            </w:r>
          </w:p>
        </w:tc>
      </w:tr>
      <w:tr w:rsidR="00B82EA5" w:rsidRPr="001E552E" w14:paraId="4725A419" w14:textId="77777777" w:rsidTr="009300B8">
        <w:trPr>
          <w:trHeight w:val="2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2893D9F6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Ders Sorumlusu: </w:t>
            </w:r>
          </w:p>
        </w:tc>
        <w:tc>
          <w:tcPr>
            <w:tcW w:w="6473" w:type="dxa"/>
            <w:gridSpan w:val="2"/>
            <w:vAlign w:val="center"/>
          </w:tcPr>
          <w:p w14:paraId="4B1D8935" w14:textId="6A8DAE4C" w:rsidR="00B82EA5" w:rsidRPr="001E552E" w:rsidRDefault="00B75616" w:rsidP="00B7561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Prof</w:t>
            </w:r>
            <w:r w:rsidR="006F4A1B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. 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Dr.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Metin PİŞKİN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</w:p>
        </w:tc>
      </w:tr>
      <w:tr w:rsidR="00B82EA5" w:rsidRPr="001E552E" w14:paraId="0BB939E4" w14:textId="77777777" w:rsidTr="009300B8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0A1537DD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Dersin Günü ve Saati: </w:t>
            </w:r>
          </w:p>
        </w:tc>
        <w:tc>
          <w:tcPr>
            <w:tcW w:w="2366" w:type="dxa"/>
            <w:vAlign w:val="center"/>
          </w:tcPr>
          <w:p w14:paraId="6B0CD886" w14:textId="500E25FF" w:rsidR="00B82EA5" w:rsidRPr="001E552E" w:rsidRDefault="005D2428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4107" w:type="dxa"/>
            <w:vAlign w:val="center"/>
          </w:tcPr>
          <w:p w14:paraId="66DB7235" w14:textId="5C0300DF" w:rsidR="00B82EA5" w:rsidRPr="001E552E" w:rsidRDefault="005D2428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sz w:val="22"/>
                <w:szCs w:val="22"/>
                <w:lang w:val="tr-TR"/>
              </w:rPr>
              <w:t>15.30-17.20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</w:p>
        </w:tc>
      </w:tr>
      <w:tr w:rsidR="00B82EA5" w:rsidRPr="001E552E" w14:paraId="7822120B" w14:textId="77777777" w:rsidTr="009300B8">
        <w:trPr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5BEEA31D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Derslik: </w:t>
            </w:r>
          </w:p>
        </w:tc>
        <w:tc>
          <w:tcPr>
            <w:tcW w:w="6473" w:type="dxa"/>
            <w:gridSpan w:val="2"/>
            <w:vAlign w:val="center"/>
          </w:tcPr>
          <w:p w14:paraId="6CF46DB8" w14:textId="7C407A6B" w:rsidR="00B82EA5" w:rsidRPr="001E552E" w:rsidRDefault="005D2428" w:rsidP="00B7561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sz w:val="22"/>
                <w:szCs w:val="22"/>
                <w:lang w:val="tr-TR"/>
              </w:rPr>
              <w:t xml:space="preserve">5 </w:t>
            </w:r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>Numaralı</w:t>
            </w:r>
            <w:r w:rsidR="00E05412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Derslik</w:t>
            </w:r>
          </w:p>
        </w:tc>
      </w:tr>
      <w:tr w:rsidR="00B82EA5" w:rsidRPr="001E552E" w14:paraId="7E8C0A86" w14:textId="77777777" w:rsidTr="009300B8">
        <w:trPr>
          <w:trHeight w:val="1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4E1B26E8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İletişim Bilgileri: </w:t>
            </w:r>
          </w:p>
        </w:tc>
        <w:tc>
          <w:tcPr>
            <w:tcW w:w="6473" w:type="dxa"/>
            <w:gridSpan w:val="2"/>
            <w:vAlign w:val="center"/>
          </w:tcPr>
          <w:p w14:paraId="02B07651" w14:textId="77777777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Eğitim Bilimleri Fakültesi </w:t>
            </w:r>
          </w:p>
          <w:p w14:paraId="46B7A158" w14:textId="10E807A3" w:rsidR="00B82EA5" w:rsidRPr="001E552E" w:rsidRDefault="00B75616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Eğitim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Bilimleri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Bölümü </w:t>
            </w:r>
          </w:p>
          <w:p w14:paraId="0DB59559" w14:textId="77777777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Rehberlik ve Psikolojik Danışmanlık </w:t>
            </w:r>
            <w:r w:rsidR="00D10269" w:rsidRPr="001E552E">
              <w:rPr>
                <w:rFonts w:ascii="Tahoma" w:hAnsi="Tahoma" w:cs="Tahoma"/>
                <w:sz w:val="22"/>
                <w:szCs w:val="22"/>
                <w:lang w:val="tr-TR"/>
              </w:rPr>
              <w:t>Anabilim Dalı</w:t>
            </w:r>
          </w:p>
          <w:p w14:paraId="0A2F42CA" w14:textId="1E7ACA5D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Tel: 0312</w:t>
            </w:r>
            <w:r w:rsidR="008A17BD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363</w:t>
            </w:r>
            <w:r w:rsidR="008A17BD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3350 (</w:t>
            </w:r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>Dâhili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: 31</w:t>
            </w:r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>21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) </w:t>
            </w:r>
          </w:p>
          <w:p w14:paraId="5221EF7C" w14:textId="1FB26274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proofErr w:type="spellStart"/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Email</w:t>
            </w:r>
            <w:proofErr w:type="spellEnd"/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: </w:t>
            </w:r>
            <w:hyperlink r:id="rId8" w:history="1">
              <w:r w:rsidR="00B75616" w:rsidRPr="001E552E">
                <w:rPr>
                  <w:rStyle w:val="Kpr"/>
                  <w:rFonts w:ascii="Tahoma" w:hAnsi="Tahoma" w:cs="Tahoma"/>
                  <w:sz w:val="22"/>
                  <w:szCs w:val="22"/>
                  <w:lang w:val="tr-TR"/>
                </w:rPr>
                <w:t>mpiskin@ankara.edu.tr</w:t>
              </w:r>
            </w:hyperlink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;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hyperlink r:id="rId9" w:history="1">
              <w:r w:rsidR="00B75616" w:rsidRPr="001E552E">
                <w:rPr>
                  <w:rStyle w:val="Kpr"/>
                  <w:rFonts w:ascii="Tahoma" w:hAnsi="Tahoma" w:cs="Tahoma"/>
                  <w:sz w:val="22"/>
                  <w:szCs w:val="22"/>
                  <w:lang w:val="tr-TR"/>
                </w:rPr>
                <w:t>metinpiskin@gmail.com</w:t>
              </w:r>
            </w:hyperlink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</w:p>
          <w:p w14:paraId="7AED5969" w14:textId="5611EE2D" w:rsidR="00B82EA5" w:rsidRPr="001E552E" w:rsidRDefault="00B82EA5" w:rsidP="00F400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Ofis saatleri: </w:t>
            </w:r>
            <w:r w:rsidR="00F4008A">
              <w:rPr>
                <w:rFonts w:ascii="Tahoma" w:hAnsi="Tahoma" w:cs="Tahoma"/>
                <w:sz w:val="22"/>
                <w:szCs w:val="22"/>
                <w:lang w:val="tr-TR"/>
              </w:rPr>
              <w:t>Pazartesi 13.00-13.30, Salı 12.00-12.30</w:t>
            </w:r>
            <w:r w:rsidR="006F4A1B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(</w:t>
            </w:r>
            <w:r w:rsidRPr="001E552E">
              <w:rPr>
                <w:rFonts w:ascii="Tahoma" w:hAnsi="Tahoma" w:cs="Tahoma"/>
                <w:i/>
                <w:iCs/>
                <w:sz w:val="22"/>
                <w:szCs w:val="22"/>
                <w:lang w:val="tr-TR"/>
              </w:rPr>
              <w:t>Lütfen randevu alınız</w:t>
            </w:r>
            <w:r w:rsidR="00A51743" w:rsidRPr="001E552E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  <w:r w:rsidR="006F4A1B" w:rsidRPr="001E552E">
              <w:rPr>
                <w:rFonts w:ascii="Tahoma" w:hAnsi="Tahoma" w:cs="Tahoma"/>
                <w:sz w:val="22"/>
                <w:szCs w:val="22"/>
                <w:lang w:val="tr-TR"/>
              </w:rPr>
              <w:t>)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</w:p>
        </w:tc>
      </w:tr>
    </w:tbl>
    <w:p w14:paraId="15FC3CC8" w14:textId="77777777" w:rsidR="00B82EA5" w:rsidRPr="001E552E" w:rsidRDefault="00B82EA5" w:rsidP="001E552E">
      <w:pPr>
        <w:autoSpaceDE w:val="0"/>
        <w:autoSpaceDN w:val="0"/>
        <w:adjustRightInd w:val="0"/>
        <w:spacing w:before="360" w:after="120"/>
        <w:jc w:val="both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Dersin Amacı </w:t>
      </w:r>
    </w:p>
    <w:p w14:paraId="0E6322AC" w14:textId="79862AD5" w:rsidR="00B82EA5" w:rsidRPr="001E552E" w:rsidRDefault="00B82EA5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Öğrencilerin </w:t>
      </w:r>
      <w:r w:rsidR="005D2428">
        <w:rPr>
          <w:rFonts w:ascii="Tahoma" w:hAnsi="Tahoma" w:cs="Tahoma"/>
          <w:color w:val="000000"/>
          <w:sz w:val="22"/>
          <w:szCs w:val="22"/>
          <w:lang w:val="tr-TR"/>
        </w:rPr>
        <w:t xml:space="preserve">kariyer bilgi kaynakları konusunda 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bilgi sahibi olması ve edindiği bilgiyi meslek yaşamında uygulayabilmesi amaçlanmaktadır. </w:t>
      </w:r>
    </w:p>
    <w:p w14:paraId="0B169341" w14:textId="77777777" w:rsidR="00B82EA5" w:rsidRPr="001E552E" w:rsidRDefault="00B82EA5" w:rsidP="001E552E">
      <w:pPr>
        <w:autoSpaceDE w:val="0"/>
        <w:autoSpaceDN w:val="0"/>
        <w:adjustRightInd w:val="0"/>
        <w:spacing w:before="240" w:after="120"/>
        <w:jc w:val="both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Kazanımlar </w:t>
      </w:r>
    </w:p>
    <w:p w14:paraId="53C4D5F3" w14:textId="51BE05D0" w:rsidR="00B82EA5" w:rsidRPr="001E552E" w:rsidRDefault="00B82EA5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Bu dersi alan öğrenciler</w:t>
      </w:r>
      <w:r w:rsidR="00E86644" w:rsidRPr="001E552E">
        <w:rPr>
          <w:rFonts w:ascii="Tahoma" w:hAnsi="Tahoma" w:cs="Tahoma"/>
          <w:color w:val="000000"/>
          <w:sz w:val="22"/>
          <w:szCs w:val="22"/>
          <w:lang w:val="tr-TR"/>
        </w:rPr>
        <w:t>in</w:t>
      </w:r>
      <w:r w:rsidR="00F04F4D"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</w:t>
      </w:r>
      <w:r w:rsidR="00E86644"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dönem sonunda </w:t>
      </w:r>
      <w:r w:rsidR="00F04F4D" w:rsidRPr="001E552E">
        <w:rPr>
          <w:rFonts w:ascii="Tahoma" w:hAnsi="Tahoma" w:cs="Tahoma"/>
          <w:color w:val="000000"/>
          <w:sz w:val="22"/>
          <w:szCs w:val="22"/>
          <w:lang w:val="tr-TR"/>
        </w:rPr>
        <w:t>aşağıdaki kazanımları elde etmesi beklenmektedir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: </w:t>
      </w:r>
    </w:p>
    <w:p w14:paraId="38C854DA" w14:textId="309FDE75" w:rsidR="00E86644" w:rsidRPr="005D2428" w:rsidRDefault="00E86644" w:rsidP="005D242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Meslek, iş ve kariyer kavramlarını tanımlayabilir,</w:t>
      </w:r>
    </w:p>
    <w:p w14:paraId="5106FF4D" w14:textId="0AAA22F1" w:rsidR="00E86644" w:rsidRPr="001E552E" w:rsidRDefault="00E86644" w:rsidP="001E552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Kariyer danışmanlarının yeterliklerini 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>sıralayabilir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,</w:t>
      </w:r>
    </w:p>
    <w:p w14:paraId="790AC506" w14:textId="04EA7D92" w:rsidR="00E86644" w:rsidRPr="001E552E" w:rsidRDefault="00E86644" w:rsidP="001E552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Kariyer planlama sürecinin evrelerini 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bilir 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ve her evrede kariyer danışmanlarının görevlerini 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>açıklar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,</w:t>
      </w:r>
    </w:p>
    <w:p w14:paraId="591891E9" w14:textId="7FD2AB73" w:rsidR="005D2428" w:rsidRDefault="005D2428" w:rsidP="005D242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>
        <w:rPr>
          <w:rFonts w:ascii="Tahoma" w:hAnsi="Tahoma" w:cs="Tahoma"/>
          <w:color w:val="000000"/>
          <w:sz w:val="22"/>
          <w:szCs w:val="22"/>
          <w:lang w:val="tr-TR"/>
        </w:rPr>
        <w:t>Kariyer seçiminde farklı karar verme stillerini kavrar,</w:t>
      </w:r>
    </w:p>
    <w:p w14:paraId="50084B8B" w14:textId="7529FA9F" w:rsidR="005D2428" w:rsidRDefault="005D2428" w:rsidP="005D242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>
        <w:rPr>
          <w:rFonts w:ascii="Tahoma" w:hAnsi="Tahoma" w:cs="Tahoma"/>
          <w:color w:val="000000"/>
          <w:sz w:val="22"/>
          <w:szCs w:val="22"/>
          <w:lang w:val="tr-TR"/>
        </w:rPr>
        <w:t>Lise ve üniversiteye geçiş sınavlarının sistemlerini açıklayabilir,</w:t>
      </w:r>
    </w:p>
    <w:p w14:paraId="6970A3E6" w14:textId="5CAD8A4E" w:rsidR="00D933FE" w:rsidRPr="003A2934" w:rsidRDefault="005D2428" w:rsidP="003A293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>
        <w:rPr>
          <w:rFonts w:ascii="Tahoma" w:hAnsi="Tahoma" w:cs="Tahoma"/>
          <w:color w:val="000000"/>
          <w:sz w:val="22"/>
          <w:szCs w:val="22"/>
          <w:lang w:val="tr-TR"/>
        </w:rPr>
        <w:t>Bilgisayar destekli mesleki b</w:t>
      </w:r>
      <w:r w:rsidR="00D933FE">
        <w:rPr>
          <w:rFonts w:ascii="Tahoma" w:hAnsi="Tahoma" w:cs="Tahoma"/>
          <w:color w:val="000000"/>
          <w:sz w:val="22"/>
          <w:szCs w:val="22"/>
          <w:lang w:val="tr-TR"/>
        </w:rPr>
        <w:t>ilgi sistemle</w:t>
      </w:r>
      <w:r w:rsidR="003A2934">
        <w:rPr>
          <w:rFonts w:ascii="Tahoma" w:hAnsi="Tahoma" w:cs="Tahoma"/>
          <w:color w:val="000000"/>
          <w:sz w:val="22"/>
          <w:szCs w:val="22"/>
          <w:lang w:val="tr-TR"/>
        </w:rPr>
        <w:t>rine ulaşabilir ve kullanabilir.</w:t>
      </w:r>
    </w:p>
    <w:p w14:paraId="0F562D27" w14:textId="77777777" w:rsidR="009300B8" w:rsidRDefault="009300B8" w:rsidP="001E552E">
      <w:pPr>
        <w:autoSpaceDE w:val="0"/>
        <w:autoSpaceDN w:val="0"/>
        <w:adjustRightInd w:val="0"/>
        <w:spacing w:before="24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Önerilen Kaynaklar</w:t>
      </w:r>
    </w:p>
    <w:p w14:paraId="2C8505CF" w14:textId="77777777" w:rsidR="003A2934" w:rsidRPr="001E552E" w:rsidRDefault="003A2934" w:rsidP="003A2934">
      <w:pPr>
        <w:pStyle w:val="ListeParagraf"/>
        <w:numPr>
          <w:ilvl w:val="0"/>
          <w:numId w:val="17"/>
        </w:numPr>
        <w:spacing w:before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proofErr w:type="spellStart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Yeşilyaprak</w:t>
      </w:r>
      <w:proofErr w:type="spellEnd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, B. (2017). </w:t>
      </w:r>
      <w:r w:rsidRPr="001E552E">
        <w:rPr>
          <w:rFonts w:ascii="Tahoma" w:hAnsi="Tahoma" w:cs="Tahoma"/>
          <w:i/>
          <w:color w:val="000000"/>
          <w:sz w:val="22"/>
          <w:szCs w:val="22"/>
          <w:lang w:val="tr-TR"/>
        </w:rPr>
        <w:t>Mesleki Rehberlik ve Kariyer Danışmanlığı: Kuramdan Uygulamaya.</w:t>
      </w:r>
      <w:r>
        <w:rPr>
          <w:rFonts w:ascii="Tahoma" w:hAnsi="Tahoma" w:cs="Tahoma"/>
          <w:b/>
          <w:i/>
          <w:color w:val="000000"/>
          <w:sz w:val="22"/>
          <w:szCs w:val="22"/>
          <w:lang w:val="tr-TR"/>
        </w:rPr>
        <w:t xml:space="preserve"> </w:t>
      </w:r>
      <w:r w:rsidRPr="001E552E">
        <w:rPr>
          <w:rFonts w:ascii="Tahoma" w:hAnsi="Tahoma" w:cs="Tahoma"/>
          <w:b/>
          <w:i/>
          <w:color w:val="000000"/>
          <w:sz w:val="22"/>
          <w:szCs w:val="22"/>
          <w:lang w:val="tr-TR"/>
        </w:rPr>
        <w:t xml:space="preserve"> 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Ankara: PEGEM Akademi.</w:t>
      </w:r>
    </w:p>
    <w:p w14:paraId="063C9644" w14:textId="77777777" w:rsidR="003A2934" w:rsidRPr="001E552E" w:rsidRDefault="003A2934" w:rsidP="003A2934">
      <w:pPr>
        <w:pStyle w:val="ListeParagraf"/>
        <w:numPr>
          <w:ilvl w:val="0"/>
          <w:numId w:val="17"/>
        </w:numPr>
        <w:spacing w:before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Kuzgun, Y. (2010). </w:t>
      </w:r>
      <w:r w:rsidRPr="001E552E">
        <w:rPr>
          <w:rFonts w:ascii="Tahoma" w:hAnsi="Tahoma" w:cs="Tahoma"/>
          <w:i/>
          <w:color w:val="000000"/>
          <w:sz w:val="22"/>
          <w:szCs w:val="22"/>
          <w:lang w:val="tr-TR"/>
        </w:rPr>
        <w:t>Meslek Danışmanlığı – Kuramlar ve Uygulamalar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. Ankara: Nobel Yayın Dağıtım.</w:t>
      </w:r>
    </w:p>
    <w:p w14:paraId="49B94B17" w14:textId="77777777" w:rsidR="003A2934" w:rsidRPr="001E552E" w:rsidRDefault="003A2934" w:rsidP="001E552E">
      <w:pPr>
        <w:autoSpaceDE w:val="0"/>
        <w:autoSpaceDN w:val="0"/>
        <w:adjustRightInd w:val="0"/>
        <w:spacing w:before="24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bookmarkStart w:id="0" w:name="_GoBack"/>
      <w:bookmarkEnd w:id="0"/>
    </w:p>
    <w:p w14:paraId="0E6B1FEB" w14:textId="77777777" w:rsidR="003572AC" w:rsidRPr="001E552E" w:rsidRDefault="003572AC" w:rsidP="009300B8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</w:p>
    <w:p w14:paraId="3EB43F15" w14:textId="77777777" w:rsidR="003572AC" w:rsidRPr="001E552E" w:rsidRDefault="003572AC" w:rsidP="009300B8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</w:p>
    <w:p w14:paraId="427BB12E" w14:textId="77777777" w:rsidR="001E552E" w:rsidRDefault="001E552E">
      <w:pPr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br w:type="page"/>
      </w:r>
    </w:p>
    <w:p w14:paraId="4DF072F2" w14:textId="28C902C3" w:rsidR="00B82EA5" w:rsidRPr="001E552E" w:rsidRDefault="001207C5" w:rsidP="001E552E">
      <w:pPr>
        <w:spacing w:before="240" w:after="240"/>
        <w:jc w:val="center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lastRenderedPageBreak/>
        <w:t xml:space="preserve">Tahmini </w:t>
      </w:r>
      <w:proofErr w:type="spellStart"/>
      <w:r w:rsidR="00B82EA5"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Konusal</w:t>
      </w:r>
      <w:proofErr w:type="spellEnd"/>
      <w:r w:rsidR="00B82EA5"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 İzlence ve Ders İşleme Programı</w:t>
      </w: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*</w:t>
      </w:r>
    </w:p>
    <w:tbl>
      <w:tblPr>
        <w:tblStyle w:val="TabloKlavuzu2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6309"/>
        <w:gridCol w:w="1883"/>
      </w:tblGrid>
      <w:tr w:rsidR="005D2428" w:rsidRPr="005D2428" w14:paraId="47C53E85" w14:textId="77777777" w:rsidTr="00631DED">
        <w:trPr>
          <w:jc w:val="center"/>
        </w:trPr>
        <w:tc>
          <w:tcPr>
            <w:tcW w:w="962" w:type="dxa"/>
            <w:shd w:val="clear" w:color="auto" w:fill="FFFF00"/>
          </w:tcPr>
          <w:p w14:paraId="4187AECD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HAFTA</w:t>
            </w:r>
          </w:p>
        </w:tc>
        <w:tc>
          <w:tcPr>
            <w:tcW w:w="6309" w:type="dxa"/>
            <w:shd w:val="clear" w:color="auto" w:fill="FFFF00"/>
            <w:vAlign w:val="center"/>
          </w:tcPr>
          <w:p w14:paraId="0D49B32F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KONULAR</w:t>
            </w:r>
          </w:p>
        </w:tc>
        <w:tc>
          <w:tcPr>
            <w:tcW w:w="1883" w:type="dxa"/>
            <w:shd w:val="clear" w:color="auto" w:fill="FFFF00"/>
            <w:vAlign w:val="center"/>
          </w:tcPr>
          <w:p w14:paraId="5F6BDB34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TARİH</w:t>
            </w:r>
          </w:p>
        </w:tc>
      </w:tr>
      <w:tr w:rsidR="005D2428" w:rsidRPr="005D2428" w14:paraId="277FCC60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74FC4BFB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0DFBC9F5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Tanışma ve Genel Açıklamalar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F7F7387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24 Eylül</w:t>
            </w:r>
          </w:p>
        </w:tc>
      </w:tr>
      <w:tr w:rsidR="005D2428" w:rsidRPr="005D2428" w14:paraId="12665A91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6CD0398B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0B3C6BF5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Temel Kavramlar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8063D31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 Ekim</w:t>
            </w:r>
          </w:p>
        </w:tc>
      </w:tr>
      <w:tr w:rsidR="005D2428" w:rsidRPr="005D2428" w14:paraId="543B7338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7BAD3760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3F3261C0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Kariyer Danışmanlarının Yeterlikleri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ADCD09B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8 Ekim</w:t>
            </w:r>
          </w:p>
        </w:tc>
      </w:tr>
      <w:tr w:rsidR="005D2428" w:rsidRPr="005D2428" w14:paraId="238B3FD8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07C00BEE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6D96621B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Kariyer Planlama Süreci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D3E8BF0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15 Ekim</w:t>
            </w:r>
          </w:p>
        </w:tc>
      </w:tr>
      <w:tr w:rsidR="005D2428" w:rsidRPr="005D2428" w14:paraId="46EDBDB6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301D0A27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651B34FC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Farklı Karar Verme Stilleri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FCC97F0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22 Ekim</w:t>
            </w:r>
          </w:p>
        </w:tc>
      </w:tr>
      <w:tr w:rsidR="005D2428" w:rsidRPr="005D2428" w14:paraId="713B1C7E" w14:textId="77777777" w:rsidTr="00631DED">
        <w:trPr>
          <w:jc w:val="center"/>
        </w:trPr>
        <w:tc>
          <w:tcPr>
            <w:tcW w:w="962" w:type="dxa"/>
            <w:shd w:val="clear" w:color="auto" w:fill="FFFF00"/>
          </w:tcPr>
          <w:p w14:paraId="2993BBB2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6309" w:type="dxa"/>
            <w:shd w:val="clear" w:color="auto" w:fill="FFFF00"/>
            <w:vAlign w:val="center"/>
          </w:tcPr>
          <w:p w14:paraId="23946792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 xml:space="preserve">Cumhuriyet Bayramı </w:t>
            </w:r>
          </w:p>
        </w:tc>
        <w:tc>
          <w:tcPr>
            <w:tcW w:w="1883" w:type="dxa"/>
            <w:shd w:val="clear" w:color="auto" w:fill="FFFF00"/>
            <w:vAlign w:val="center"/>
          </w:tcPr>
          <w:p w14:paraId="0F55FF98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29 Ekim</w:t>
            </w:r>
          </w:p>
        </w:tc>
      </w:tr>
      <w:tr w:rsidR="005D2428" w:rsidRPr="005D2428" w14:paraId="0C4988E6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03C10969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1F92A988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Bilgisayar Destekli Mesleki Bilgi Sistemleri</w:t>
            </w:r>
            <w:r w:rsidRPr="005D242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87E9C93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5 Kasım</w:t>
            </w:r>
          </w:p>
        </w:tc>
      </w:tr>
      <w:tr w:rsidR="005D2428" w:rsidRPr="005D2428" w14:paraId="5686A4C8" w14:textId="77777777" w:rsidTr="00631DED">
        <w:trPr>
          <w:jc w:val="center"/>
        </w:trPr>
        <w:tc>
          <w:tcPr>
            <w:tcW w:w="962" w:type="dxa"/>
            <w:shd w:val="clear" w:color="auto" w:fill="92D050"/>
          </w:tcPr>
          <w:p w14:paraId="7C159CB1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6309" w:type="dxa"/>
            <w:shd w:val="clear" w:color="auto" w:fill="92D050"/>
          </w:tcPr>
          <w:p w14:paraId="64293AE5" w14:textId="77777777" w:rsidR="005D2428" w:rsidRPr="005D2428" w:rsidRDefault="005D2428" w:rsidP="005D2428">
            <w:pPr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Ara Sınav</w:t>
            </w:r>
          </w:p>
        </w:tc>
        <w:tc>
          <w:tcPr>
            <w:tcW w:w="1883" w:type="dxa"/>
            <w:shd w:val="clear" w:color="auto" w:fill="92D050"/>
            <w:vAlign w:val="center"/>
          </w:tcPr>
          <w:p w14:paraId="1CC54221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12 Kasım</w:t>
            </w:r>
          </w:p>
        </w:tc>
      </w:tr>
      <w:tr w:rsidR="005D2428" w:rsidRPr="005D2428" w14:paraId="17611B0D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066C80B9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6309" w:type="dxa"/>
            <w:shd w:val="clear" w:color="auto" w:fill="auto"/>
          </w:tcPr>
          <w:p w14:paraId="0B92FA8C" w14:textId="77777777" w:rsidR="005D2428" w:rsidRPr="005D2428" w:rsidRDefault="005D2428" w:rsidP="005D2428">
            <w:pPr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 xml:space="preserve">Meslek Sınıflandırma Sistemleri 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0A28F53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19 Kasım</w:t>
            </w:r>
          </w:p>
        </w:tc>
      </w:tr>
      <w:tr w:rsidR="005D2428" w:rsidRPr="005D2428" w14:paraId="0A6431EA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03578889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10</w:t>
            </w:r>
          </w:p>
        </w:tc>
        <w:tc>
          <w:tcPr>
            <w:tcW w:w="6309" w:type="dxa"/>
            <w:shd w:val="clear" w:color="auto" w:fill="auto"/>
          </w:tcPr>
          <w:p w14:paraId="501D95D5" w14:textId="77777777" w:rsidR="005D2428" w:rsidRPr="005D2428" w:rsidRDefault="005D2428" w:rsidP="005D2428">
            <w:pPr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 xml:space="preserve">Liseye Geçiş Sınavı, Lise türleri ve alanları 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A09F0B6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26 Kasım</w:t>
            </w:r>
          </w:p>
        </w:tc>
      </w:tr>
      <w:tr w:rsidR="005D2428" w:rsidRPr="005D2428" w14:paraId="0793CDC1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40DB8F89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11</w:t>
            </w:r>
          </w:p>
        </w:tc>
        <w:tc>
          <w:tcPr>
            <w:tcW w:w="6309" w:type="dxa"/>
            <w:shd w:val="clear" w:color="auto" w:fill="auto"/>
          </w:tcPr>
          <w:p w14:paraId="421E5715" w14:textId="77777777" w:rsidR="005D2428" w:rsidRPr="005D2428" w:rsidRDefault="005D2428" w:rsidP="005D2428">
            <w:pPr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 xml:space="preserve">Üniversiteye Giriş Sınav Sistemi ve Alanlar 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0FF9214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3 Aralık</w:t>
            </w:r>
          </w:p>
        </w:tc>
      </w:tr>
      <w:tr w:rsidR="005D2428" w:rsidRPr="005D2428" w14:paraId="6840D093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4C491956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12</w:t>
            </w:r>
          </w:p>
        </w:tc>
        <w:tc>
          <w:tcPr>
            <w:tcW w:w="6309" w:type="dxa"/>
            <w:shd w:val="clear" w:color="auto" w:fill="auto"/>
          </w:tcPr>
          <w:p w14:paraId="2B5DE93C" w14:textId="77777777" w:rsidR="005D2428" w:rsidRPr="005D2428" w:rsidRDefault="005D2428" w:rsidP="005D2428">
            <w:pPr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 xml:space="preserve">İŞKUR-Meslek Bilgi Kaynakları 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CC97957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10 Aralık</w:t>
            </w:r>
          </w:p>
        </w:tc>
      </w:tr>
      <w:tr w:rsidR="005D2428" w:rsidRPr="005D2428" w14:paraId="13A28C07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198E8CAB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13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0CB739DE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 xml:space="preserve">Geleceğin Meslekleri 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C33A089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17 Aralık</w:t>
            </w:r>
          </w:p>
        </w:tc>
      </w:tr>
      <w:tr w:rsidR="005D2428" w:rsidRPr="005D2428" w14:paraId="4B9373C1" w14:textId="77777777" w:rsidTr="00631DED">
        <w:trPr>
          <w:jc w:val="center"/>
        </w:trPr>
        <w:tc>
          <w:tcPr>
            <w:tcW w:w="962" w:type="dxa"/>
            <w:shd w:val="clear" w:color="auto" w:fill="auto"/>
          </w:tcPr>
          <w:p w14:paraId="5DE29D84" w14:textId="77777777" w:rsidR="005D2428" w:rsidRPr="005D2428" w:rsidRDefault="005D2428" w:rsidP="005D2428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59C1BAE7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Genel Değerlendirme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82C039C" w14:textId="77777777" w:rsidR="005D2428" w:rsidRPr="005D2428" w:rsidRDefault="005D2428" w:rsidP="005D2428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5D2428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24 Aralık</w:t>
            </w:r>
          </w:p>
        </w:tc>
      </w:tr>
    </w:tbl>
    <w:p w14:paraId="65FD3C75" w14:textId="77777777" w:rsidR="001207C5" w:rsidRPr="001E552E" w:rsidRDefault="001207C5" w:rsidP="001207C5">
      <w:pPr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</w:p>
    <w:p w14:paraId="219D7118" w14:textId="77777777" w:rsidR="001E552E" w:rsidRDefault="001207C5" w:rsidP="001207C5">
      <w:pPr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>*</w:t>
      </w:r>
      <w:r w:rsidR="001E552E">
        <w:rPr>
          <w:rFonts w:ascii="Tahoma" w:hAnsi="Tahoma" w:cs="Tahoma"/>
          <w:bCs/>
          <w:color w:val="000000"/>
          <w:sz w:val="22"/>
          <w:szCs w:val="22"/>
          <w:lang w:val="tr-TR"/>
        </w:rPr>
        <w:t>Duruma göre programda bir miktar değişiklik olabilir.</w:t>
      </w:r>
    </w:p>
    <w:p w14:paraId="7ED24A34" w14:textId="77777777" w:rsidR="00B82EA5" w:rsidRPr="001E552E" w:rsidRDefault="00B82EA5" w:rsidP="00B82EA5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67089A96" w14:textId="36D8C2E0" w:rsidR="00F04F4D" w:rsidRPr="001E552E" w:rsidRDefault="00B82EA5" w:rsidP="001E552E">
      <w:pPr>
        <w:autoSpaceDE w:val="0"/>
        <w:autoSpaceDN w:val="0"/>
        <w:adjustRightInd w:val="0"/>
        <w:spacing w:before="12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Derse Devam </w:t>
      </w:r>
    </w:p>
    <w:p w14:paraId="501F6BF2" w14:textId="7D86F536" w:rsidR="00B82EA5" w:rsidRPr="001E552E" w:rsidRDefault="00B82EA5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Bu dersin </w:t>
      </w:r>
      <w:r w:rsidR="00B75616" w:rsidRPr="001E552E">
        <w:rPr>
          <w:rFonts w:ascii="Tahoma" w:hAnsi="Tahoma" w:cs="Tahoma"/>
          <w:color w:val="000000"/>
          <w:sz w:val="22"/>
          <w:szCs w:val="22"/>
          <w:lang w:val="tr-TR"/>
        </w:rPr>
        <w:t>yılsonu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sınavına giril</w:t>
      </w:r>
      <w:r w:rsidR="001E67EC" w:rsidRPr="001E552E">
        <w:rPr>
          <w:rFonts w:ascii="Tahoma" w:hAnsi="Tahoma" w:cs="Tahoma"/>
          <w:color w:val="000000"/>
          <w:sz w:val="22"/>
          <w:szCs w:val="22"/>
          <w:lang w:val="tr-TR"/>
        </w:rPr>
        <w:t>ebilmesi için derslerin en az %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70’ine devam edilmesi gerekmektedir. Lisans Eğitim-Öğretim Yönetmeliği’ne göre öğrencilerin sağlık raporu ilgili yönetim kurulunca kabul edilse bile, öğrencinin raporlu olduğu süre öğrencinin devamsızlık süresinden sayılır. </w:t>
      </w:r>
    </w:p>
    <w:p w14:paraId="4E577063" w14:textId="77777777" w:rsidR="0089018D" w:rsidRDefault="0089018D">
      <w:pPr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br w:type="page"/>
      </w:r>
    </w:p>
    <w:p w14:paraId="4170490D" w14:textId="4E37D0F0" w:rsidR="004C5DA0" w:rsidRPr="001E552E" w:rsidRDefault="004C5DA0" w:rsidP="001E552E">
      <w:pPr>
        <w:autoSpaceDE w:val="0"/>
        <w:autoSpaceDN w:val="0"/>
        <w:adjustRightInd w:val="0"/>
        <w:spacing w:before="24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lastRenderedPageBreak/>
        <w:t>Dersin Değerlendirilmesi</w:t>
      </w:r>
    </w:p>
    <w:p w14:paraId="300CDDEA" w14:textId="77032AA9" w:rsidR="009541DA" w:rsidRPr="001E552E" w:rsidRDefault="00B32C5C" w:rsidP="004C5DA0">
      <w:pPr>
        <w:autoSpaceDE w:val="0"/>
        <w:autoSpaceDN w:val="0"/>
        <w:adjustRightInd w:val="0"/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 xml:space="preserve">Dersi geçme notunuz aşağıdaki </w:t>
      </w:r>
      <w:proofErr w:type="gramStart"/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>kriterlere</w:t>
      </w:r>
      <w:proofErr w:type="gramEnd"/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 xml:space="preserve"> göre puanlanacaktır:</w:t>
      </w:r>
    </w:p>
    <w:p w14:paraId="0647E7B5" w14:textId="77777777" w:rsidR="00B32C5C" w:rsidRPr="001E552E" w:rsidRDefault="00B32C5C" w:rsidP="004C5DA0">
      <w:pPr>
        <w:autoSpaceDE w:val="0"/>
        <w:autoSpaceDN w:val="0"/>
        <w:adjustRightInd w:val="0"/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</w:p>
    <w:p w14:paraId="0BAF4055" w14:textId="65C11738" w:rsidR="004C5DA0" w:rsidRPr="001E552E" w:rsidRDefault="004C5DA0" w:rsidP="004C5DA0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Ara </w:t>
      </w:r>
      <w:r w:rsidR="009541DA" w:rsidRPr="001E552E">
        <w:rPr>
          <w:rFonts w:ascii="Tahoma" w:hAnsi="Tahoma" w:cs="Tahoma"/>
          <w:color w:val="000000"/>
          <w:sz w:val="22"/>
          <w:szCs w:val="22"/>
          <w:lang w:val="tr-TR"/>
        </w:rPr>
        <w:t>S</w:t>
      </w:r>
      <w:r w:rsidR="00F4008A">
        <w:rPr>
          <w:rFonts w:ascii="Tahoma" w:hAnsi="Tahoma" w:cs="Tahoma"/>
          <w:color w:val="000000"/>
          <w:sz w:val="22"/>
          <w:szCs w:val="22"/>
          <w:lang w:val="tr-TR"/>
        </w:rPr>
        <w:t>ınav (%3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0) </w:t>
      </w:r>
    </w:p>
    <w:p w14:paraId="525AD5A8" w14:textId="38B46249" w:rsidR="00DD271D" w:rsidRPr="001E552E" w:rsidRDefault="009541DA" w:rsidP="00DD271D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Yıl</w:t>
      </w:r>
      <w:r w:rsidR="00F4008A">
        <w:rPr>
          <w:rFonts w:ascii="Tahoma" w:hAnsi="Tahoma" w:cs="Tahoma"/>
          <w:color w:val="000000"/>
          <w:sz w:val="22"/>
          <w:szCs w:val="22"/>
          <w:lang w:val="tr-TR"/>
        </w:rPr>
        <w:t xml:space="preserve"> Sonu Değerlendirmesi (%8</w:t>
      </w:r>
      <w:r w:rsidR="00DD271D" w:rsidRPr="001E552E">
        <w:rPr>
          <w:rFonts w:ascii="Tahoma" w:hAnsi="Tahoma" w:cs="Tahoma"/>
          <w:color w:val="000000"/>
          <w:sz w:val="22"/>
          <w:szCs w:val="22"/>
          <w:lang w:val="tr-TR"/>
        </w:rPr>
        <w:t>0)</w:t>
      </w:r>
    </w:p>
    <w:p w14:paraId="39C55664" w14:textId="3394A849" w:rsidR="00F04F4D" w:rsidRPr="001E552E" w:rsidRDefault="00B82EA5" w:rsidP="001E552E">
      <w:pPr>
        <w:autoSpaceDE w:val="0"/>
        <w:autoSpaceDN w:val="0"/>
        <w:adjustRightInd w:val="0"/>
        <w:spacing w:before="24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proofErr w:type="spellStart"/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Notlandırma</w:t>
      </w:r>
      <w:proofErr w:type="spellEnd"/>
    </w:p>
    <w:p w14:paraId="62901AD5" w14:textId="77777777" w:rsidR="00F04F4D" w:rsidRPr="001E552E" w:rsidRDefault="00F04F4D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Öğrencilerin başarı değerlendirmeleri aşağıdaki sisteme göre yapılacaktır. Harf notlarının, 100 puan üzerinden karşılıkları ve katsayıları aşağıdaki verilmiştir:</w:t>
      </w:r>
    </w:p>
    <w:p w14:paraId="4D625BC8" w14:textId="77777777" w:rsidR="00F04F4D" w:rsidRPr="001E552E" w:rsidRDefault="00F04F4D" w:rsidP="00B82EA5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</w:p>
    <w:tbl>
      <w:tblPr>
        <w:tblStyle w:val="OrtaKlavuz3-Vurgu3"/>
        <w:tblW w:w="5892" w:type="dxa"/>
        <w:jc w:val="center"/>
        <w:tblLayout w:type="fixed"/>
        <w:tblLook w:val="0220" w:firstRow="1" w:lastRow="0" w:firstColumn="0" w:lastColumn="0" w:noHBand="1" w:noVBand="0"/>
      </w:tblPr>
      <w:tblGrid>
        <w:gridCol w:w="1964"/>
        <w:gridCol w:w="1964"/>
        <w:gridCol w:w="1964"/>
      </w:tblGrid>
      <w:tr w:rsidR="004C5DA0" w:rsidRPr="001E552E" w14:paraId="3755777D" w14:textId="77777777" w:rsidTr="00890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  <w:shd w:val="clear" w:color="auto" w:fill="92D050"/>
          </w:tcPr>
          <w:p w14:paraId="5167F1E7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  <w:t>Puanlar</w:t>
            </w:r>
          </w:p>
        </w:tc>
        <w:tc>
          <w:tcPr>
            <w:tcW w:w="1964" w:type="dxa"/>
            <w:shd w:val="clear" w:color="auto" w:fill="92D050"/>
          </w:tcPr>
          <w:p w14:paraId="1BB81A7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  <w:t>Notlar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  <w:shd w:val="clear" w:color="auto" w:fill="92D050"/>
          </w:tcPr>
          <w:p w14:paraId="00DCF2A6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  <w:t>Katsayılar</w:t>
            </w:r>
          </w:p>
        </w:tc>
      </w:tr>
      <w:tr w:rsidR="00F4008A" w:rsidRPr="001E552E" w14:paraId="7DBF9F5E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4B271586" w14:textId="3B51E364" w:rsidR="00F4008A" w:rsidRPr="001E552E" w:rsidRDefault="00F4008A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100+</w:t>
            </w:r>
          </w:p>
        </w:tc>
        <w:tc>
          <w:tcPr>
            <w:tcW w:w="1964" w:type="dxa"/>
          </w:tcPr>
          <w:p w14:paraId="35718481" w14:textId="7B93F3C1" w:rsidR="00F4008A" w:rsidRPr="001E552E" w:rsidRDefault="00F4008A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A+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EF525FF" w14:textId="75FB2F6B" w:rsidR="00F4008A" w:rsidRPr="001E552E" w:rsidRDefault="00F4008A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4,00</w:t>
            </w:r>
          </w:p>
        </w:tc>
      </w:tr>
      <w:tr w:rsidR="004C5DA0" w:rsidRPr="001E552E" w14:paraId="4B0A1554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64D5BE31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90-100</w:t>
            </w:r>
          </w:p>
        </w:tc>
        <w:tc>
          <w:tcPr>
            <w:tcW w:w="1964" w:type="dxa"/>
          </w:tcPr>
          <w:p w14:paraId="76EE438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2DA26BB0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4,00</w:t>
            </w:r>
          </w:p>
        </w:tc>
      </w:tr>
      <w:tr w:rsidR="00B82EA5" w:rsidRPr="001E552E" w14:paraId="6703E730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CE121EA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85-89</w:t>
            </w:r>
          </w:p>
        </w:tc>
        <w:tc>
          <w:tcPr>
            <w:tcW w:w="1964" w:type="dxa"/>
          </w:tcPr>
          <w:p w14:paraId="43DEE526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B1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909C629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3,50</w:t>
            </w:r>
          </w:p>
        </w:tc>
      </w:tr>
      <w:tr w:rsidR="00B82EA5" w:rsidRPr="001E552E" w14:paraId="79C9F6E0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1BC9038B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80-84</w:t>
            </w:r>
          </w:p>
        </w:tc>
        <w:tc>
          <w:tcPr>
            <w:tcW w:w="1964" w:type="dxa"/>
          </w:tcPr>
          <w:p w14:paraId="09999C94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B2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65188C44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3,25</w:t>
            </w:r>
          </w:p>
        </w:tc>
      </w:tr>
      <w:tr w:rsidR="00B82EA5" w:rsidRPr="001E552E" w14:paraId="0DC2D99F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410D7F9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75-79</w:t>
            </w:r>
          </w:p>
        </w:tc>
        <w:tc>
          <w:tcPr>
            <w:tcW w:w="1964" w:type="dxa"/>
          </w:tcPr>
          <w:p w14:paraId="253A5B2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B3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4AC8A085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3.00</w:t>
            </w:r>
          </w:p>
        </w:tc>
      </w:tr>
      <w:tr w:rsidR="00B82EA5" w:rsidRPr="001E552E" w14:paraId="1AF8B9EC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0723714C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70-74</w:t>
            </w:r>
          </w:p>
        </w:tc>
        <w:tc>
          <w:tcPr>
            <w:tcW w:w="1964" w:type="dxa"/>
          </w:tcPr>
          <w:p w14:paraId="75BE1D7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C1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197E3D0C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2,75</w:t>
            </w:r>
          </w:p>
        </w:tc>
      </w:tr>
      <w:tr w:rsidR="00B82EA5" w:rsidRPr="001E552E" w14:paraId="2E440F8B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3014DE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65-69</w:t>
            </w:r>
          </w:p>
        </w:tc>
        <w:tc>
          <w:tcPr>
            <w:tcW w:w="1964" w:type="dxa"/>
          </w:tcPr>
          <w:p w14:paraId="741769F7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C2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41492603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2.50</w:t>
            </w:r>
          </w:p>
        </w:tc>
      </w:tr>
      <w:tr w:rsidR="00B82EA5" w:rsidRPr="001E552E" w14:paraId="02042CEB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041501CB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60-64</w:t>
            </w:r>
          </w:p>
        </w:tc>
        <w:tc>
          <w:tcPr>
            <w:tcW w:w="1964" w:type="dxa"/>
          </w:tcPr>
          <w:p w14:paraId="34F2885C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C3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766136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2,00</w:t>
            </w:r>
          </w:p>
        </w:tc>
      </w:tr>
      <w:tr w:rsidR="004C5DA0" w:rsidRPr="001E552E" w14:paraId="38A08B22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753BF18F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50-59</w:t>
            </w:r>
          </w:p>
        </w:tc>
        <w:tc>
          <w:tcPr>
            <w:tcW w:w="1964" w:type="dxa"/>
          </w:tcPr>
          <w:p w14:paraId="17AEF204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F1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2D873F9F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1,50</w:t>
            </w:r>
          </w:p>
        </w:tc>
      </w:tr>
      <w:tr w:rsidR="004C5DA0" w:rsidRPr="001E552E" w14:paraId="61FAFF7D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02065F10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49 ve aşağısı</w:t>
            </w:r>
          </w:p>
        </w:tc>
        <w:tc>
          <w:tcPr>
            <w:tcW w:w="1964" w:type="dxa"/>
          </w:tcPr>
          <w:p w14:paraId="497995C5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8737FCF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0,00</w:t>
            </w:r>
          </w:p>
        </w:tc>
      </w:tr>
    </w:tbl>
    <w:p w14:paraId="75284FB3" w14:textId="77777777" w:rsidR="00B82EA5" w:rsidRPr="001E552E" w:rsidRDefault="00B82EA5" w:rsidP="00B82EA5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0FC76EFB" w14:textId="6908B882" w:rsidR="00F04F4D" w:rsidRPr="001E552E" w:rsidRDefault="00B82EA5" w:rsidP="00B82EA5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Özel Durumlar</w:t>
      </w:r>
    </w:p>
    <w:p w14:paraId="07AD2172" w14:textId="77777777" w:rsidR="009300B8" w:rsidRPr="001E552E" w:rsidRDefault="009300B8" w:rsidP="00B82EA5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</w:p>
    <w:p w14:paraId="70F9442F" w14:textId="77777777" w:rsidR="00B82EA5" w:rsidRPr="001E552E" w:rsidRDefault="00B82EA5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Bu dersi alan öğrenciler arasında herhangi bir yetersizlik sebebiyle dersi takip etmede ve dersin gerekliliklerini yerine getirmekte güçlüğü olanlar varsa en kısa zamanda dersin öğ</w:t>
      </w:r>
      <w:r w:rsidR="00F04F4D" w:rsidRPr="001E552E">
        <w:rPr>
          <w:rFonts w:ascii="Tahoma" w:hAnsi="Tahoma" w:cs="Tahoma"/>
          <w:color w:val="000000"/>
          <w:sz w:val="22"/>
          <w:szCs w:val="22"/>
          <w:lang w:val="tr-TR"/>
        </w:rPr>
        <w:t>retim elemanı ile görüşmelidir.</w:t>
      </w:r>
    </w:p>
    <w:p w14:paraId="25B9B756" w14:textId="77777777" w:rsidR="00F04F4D" w:rsidRPr="001E552E" w:rsidRDefault="00F04F4D" w:rsidP="00B82EA5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</w:p>
    <w:p w14:paraId="06B72E16" w14:textId="0E9B31B7" w:rsidR="00F04F4D" w:rsidRPr="001E552E" w:rsidRDefault="00B82EA5" w:rsidP="00B82EA5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Akademik Dürüstlük Politikası</w:t>
      </w:r>
    </w:p>
    <w:p w14:paraId="17E8D195" w14:textId="77777777" w:rsidR="009300B8" w:rsidRPr="001E552E" w:rsidRDefault="009300B8" w:rsidP="00B82EA5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</w:p>
    <w:p w14:paraId="3C6FA463" w14:textId="753C70AE" w:rsidR="00B82EA5" w:rsidRPr="001E552E" w:rsidRDefault="00B82EA5" w:rsidP="00F04F4D">
      <w:pPr>
        <w:jc w:val="both"/>
        <w:rPr>
          <w:rFonts w:ascii="Tahoma" w:hAnsi="Tahoma" w:cs="Tahoma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Akademik </w:t>
      </w:r>
      <w:proofErr w:type="spellStart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dürüstsüzlük</w:t>
      </w:r>
      <w:proofErr w:type="spellEnd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kopya çekme, hazır yazılmış ödevleri veya yazılı materyalleri kullanma ya da satın alma, akademik </w:t>
      </w:r>
      <w:proofErr w:type="spellStart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aşırmacılık</w:t>
      </w:r>
      <w:proofErr w:type="spellEnd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(başkasına ait düşünceyi, görüşü, buluşu ya da çalışmayı kaynak göstermeden kendisin</w:t>
      </w:r>
      <w:r w:rsidR="009300B8" w:rsidRPr="001E552E">
        <w:rPr>
          <w:rFonts w:ascii="Tahoma" w:hAnsi="Tahoma" w:cs="Tahoma"/>
          <w:color w:val="000000"/>
          <w:sz w:val="22"/>
          <w:szCs w:val="22"/>
          <w:lang w:val="tr-TR"/>
        </w:rPr>
        <w:t>in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miş gibi sunarak ödevde, projede, raporda ve benzeri çalışmalarda kullanma) gibi unsurları içermektedir. Bu tür durumlar tespit edildiğinde, öğrencinin dersten başarısız sayılmasına ve daha ileri düzeyde üniversiteden uzaklaştırılmasına sebep olabilmektedir.</w:t>
      </w:r>
    </w:p>
    <w:p w14:paraId="22022BC1" w14:textId="77777777" w:rsidR="00F7585C" w:rsidRPr="001E552E" w:rsidRDefault="00F7585C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178D3A29" w14:textId="77777777" w:rsidR="00231C7E" w:rsidRPr="001E552E" w:rsidRDefault="00231C7E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1FFCE92C" w14:textId="77777777" w:rsidR="00231C7E" w:rsidRPr="001E552E" w:rsidRDefault="00231C7E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0380455A" w14:textId="77777777" w:rsidR="00C908C8" w:rsidRPr="001E552E" w:rsidRDefault="00C908C8" w:rsidP="00B30140">
      <w:pPr>
        <w:jc w:val="center"/>
        <w:rPr>
          <w:rFonts w:ascii="Tahoma" w:hAnsi="Tahoma" w:cs="Tahoma"/>
          <w:b/>
          <w:sz w:val="22"/>
          <w:szCs w:val="22"/>
          <w:lang w:val="tr-TR"/>
        </w:rPr>
      </w:pPr>
    </w:p>
    <w:sectPr w:rsidR="00C908C8" w:rsidRPr="001E552E" w:rsidSect="00AD60E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440" w:bottom="1135" w:left="1440" w:header="720" w:footer="5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B8220" w14:textId="77777777" w:rsidR="00A35F15" w:rsidRDefault="00A35F15" w:rsidP="00F04F4D">
      <w:r>
        <w:separator/>
      </w:r>
    </w:p>
  </w:endnote>
  <w:endnote w:type="continuationSeparator" w:id="0">
    <w:p w14:paraId="164A1ACA" w14:textId="77777777" w:rsidR="00A35F15" w:rsidRDefault="00A35F15" w:rsidP="00F0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241126"/>
      <w:docPartObj>
        <w:docPartGallery w:val="Page Numbers (Bottom of Page)"/>
        <w:docPartUnique/>
      </w:docPartObj>
    </w:sdtPr>
    <w:sdtEndPr/>
    <w:sdtContent>
      <w:p w14:paraId="718F8F17" w14:textId="77777777" w:rsidR="008A17BD" w:rsidRDefault="008A17BD">
        <w:pPr>
          <w:pStyle w:val="Altbilgi"/>
          <w:jc w:val="center"/>
        </w:pPr>
        <w:r w:rsidRPr="00F04F4D">
          <w:rPr>
            <w:rFonts w:ascii="Tahoma" w:hAnsi="Tahoma" w:cs="Tahoma"/>
          </w:rPr>
          <w:fldChar w:fldCharType="begin"/>
        </w:r>
        <w:r w:rsidRPr="00F04F4D">
          <w:rPr>
            <w:rFonts w:ascii="Tahoma" w:hAnsi="Tahoma" w:cs="Tahoma"/>
          </w:rPr>
          <w:instrText xml:space="preserve"> PAGE   \* MERGEFORMAT </w:instrText>
        </w:r>
        <w:r w:rsidRPr="00F04F4D">
          <w:rPr>
            <w:rFonts w:ascii="Tahoma" w:hAnsi="Tahoma" w:cs="Tahoma"/>
          </w:rPr>
          <w:fldChar w:fldCharType="separate"/>
        </w:r>
        <w:r w:rsidR="003A2934">
          <w:rPr>
            <w:rFonts w:ascii="Tahoma" w:hAnsi="Tahoma" w:cs="Tahoma"/>
            <w:noProof/>
          </w:rPr>
          <w:t>2</w:t>
        </w:r>
        <w:r w:rsidRPr="00F04F4D">
          <w:rPr>
            <w:rFonts w:ascii="Tahoma" w:hAnsi="Tahoma" w:cs="Tahoma"/>
          </w:rPr>
          <w:fldChar w:fldCharType="end"/>
        </w:r>
      </w:p>
    </w:sdtContent>
  </w:sdt>
  <w:p w14:paraId="2B716423" w14:textId="77777777" w:rsidR="008A17BD" w:rsidRDefault="008A17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A071" w14:textId="77777777" w:rsidR="008A17BD" w:rsidRDefault="008A17BD" w:rsidP="00AD60E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B94C1" w14:textId="77777777" w:rsidR="00A35F15" w:rsidRDefault="00A35F15" w:rsidP="00F04F4D">
      <w:r>
        <w:separator/>
      </w:r>
    </w:p>
  </w:footnote>
  <w:footnote w:type="continuationSeparator" w:id="0">
    <w:p w14:paraId="1558B142" w14:textId="77777777" w:rsidR="00A35F15" w:rsidRDefault="00A35F15" w:rsidP="00F04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B7CA" w14:textId="65523146" w:rsidR="008A17BD" w:rsidRDefault="008A17BD" w:rsidP="00AD60EA">
    <w:pPr>
      <w:pStyle w:val="stbilgi"/>
      <w:tabs>
        <w:tab w:val="left" w:pos="597"/>
      </w:tabs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5EFE4" w14:textId="79D00CDA" w:rsidR="008A17BD" w:rsidRDefault="008A17BD">
    <w:pPr>
      <w:pStyle w:val="stbilgi"/>
    </w:pPr>
    <w:r w:rsidRPr="00F7585C">
      <w:rPr>
        <w:rFonts w:ascii="Tahoma" w:hAnsi="Tahoma" w:cs="Tahoma"/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3D8A0C7E" wp14:editId="740E1D01">
          <wp:simplePos x="0" y="0"/>
          <wp:positionH relativeFrom="column">
            <wp:posOffset>2628900</wp:posOffset>
          </wp:positionH>
          <wp:positionV relativeFrom="paragraph">
            <wp:posOffset>-234950</wp:posOffset>
          </wp:positionV>
          <wp:extent cx="685800" cy="660083"/>
          <wp:effectExtent l="0" t="0" r="0" b="635"/>
          <wp:wrapNone/>
          <wp:docPr id="4" name="Picture 4" descr="http://arsiv.ankara.edu.tr/gorsel/dosya/1067240172au_amblem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rsiv.ankara.edu.tr/gorsel/dosya/1067240172au_amblem_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0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CD0"/>
    <w:multiLevelType w:val="hybridMultilevel"/>
    <w:tmpl w:val="6858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774"/>
    <w:multiLevelType w:val="hybridMultilevel"/>
    <w:tmpl w:val="2B48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C43"/>
    <w:multiLevelType w:val="hybridMultilevel"/>
    <w:tmpl w:val="52C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250A6"/>
    <w:multiLevelType w:val="hybridMultilevel"/>
    <w:tmpl w:val="66D8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08F7"/>
    <w:multiLevelType w:val="hybridMultilevel"/>
    <w:tmpl w:val="2976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7651"/>
    <w:multiLevelType w:val="hybridMultilevel"/>
    <w:tmpl w:val="CC40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10097"/>
    <w:multiLevelType w:val="hybridMultilevel"/>
    <w:tmpl w:val="BA46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871F4"/>
    <w:multiLevelType w:val="hybridMultilevel"/>
    <w:tmpl w:val="FF3EA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85B44"/>
    <w:multiLevelType w:val="hybridMultilevel"/>
    <w:tmpl w:val="171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F3B0C"/>
    <w:multiLevelType w:val="hybridMultilevel"/>
    <w:tmpl w:val="D106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01379"/>
    <w:multiLevelType w:val="hybridMultilevel"/>
    <w:tmpl w:val="57C4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53647"/>
    <w:multiLevelType w:val="hybridMultilevel"/>
    <w:tmpl w:val="1652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67594"/>
    <w:multiLevelType w:val="hybridMultilevel"/>
    <w:tmpl w:val="0A1647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32F6B"/>
    <w:multiLevelType w:val="hybridMultilevel"/>
    <w:tmpl w:val="997E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57901"/>
    <w:multiLevelType w:val="hybridMultilevel"/>
    <w:tmpl w:val="D32E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954C4"/>
    <w:multiLevelType w:val="hybridMultilevel"/>
    <w:tmpl w:val="6DD8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342E4"/>
    <w:multiLevelType w:val="hybridMultilevel"/>
    <w:tmpl w:val="DAFC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15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  <w:num w:numId="13">
    <w:abstractNumId w:val="16"/>
  </w:num>
  <w:num w:numId="14">
    <w:abstractNumId w:val="13"/>
  </w:num>
  <w:num w:numId="15">
    <w:abstractNumId w:val="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A5"/>
    <w:rsid w:val="00024EC2"/>
    <w:rsid w:val="00043E4F"/>
    <w:rsid w:val="0009409F"/>
    <w:rsid w:val="000C2096"/>
    <w:rsid w:val="000D481B"/>
    <w:rsid w:val="000D6CEB"/>
    <w:rsid w:val="000E5CBC"/>
    <w:rsid w:val="000F328B"/>
    <w:rsid w:val="00102F03"/>
    <w:rsid w:val="001207C5"/>
    <w:rsid w:val="00123E40"/>
    <w:rsid w:val="00132F07"/>
    <w:rsid w:val="001B49FD"/>
    <w:rsid w:val="001C1D64"/>
    <w:rsid w:val="001D5E4D"/>
    <w:rsid w:val="001E552E"/>
    <w:rsid w:val="001E67EC"/>
    <w:rsid w:val="00231C7E"/>
    <w:rsid w:val="00265D71"/>
    <w:rsid w:val="002845DF"/>
    <w:rsid w:val="002C7834"/>
    <w:rsid w:val="00332564"/>
    <w:rsid w:val="00354280"/>
    <w:rsid w:val="003572AC"/>
    <w:rsid w:val="003A2934"/>
    <w:rsid w:val="003B5B09"/>
    <w:rsid w:val="003C2759"/>
    <w:rsid w:val="003D0ADB"/>
    <w:rsid w:val="00437047"/>
    <w:rsid w:val="0045670A"/>
    <w:rsid w:val="004920E5"/>
    <w:rsid w:val="004C5DA0"/>
    <w:rsid w:val="005060DA"/>
    <w:rsid w:val="00540107"/>
    <w:rsid w:val="00595C16"/>
    <w:rsid w:val="005A1379"/>
    <w:rsid w:val="005D07C0"/>
    <w:rsid w:val="005D2428"/>
    <w:rsid w:val="005D551B"/>
    <w:rsid w:val="00631136"/>
    <w:rsid w:val="00635A8B"/>
    <w:rsid w:val="0066235E"/>
    <w:rsid w:val="006F4A1B"/>
    <w:rsid w:val="007404D6"/>
    <w:rsid w:val="007F6DC6"/>
    <w:rsid w:val="00807C1F"/>
    <w:rsid w:val="008232B6"/>
    <w:rsid w:val="0085731B"/>
    <w:rsid w:val="0089018D"/>
    <w:rsid w:val="00894EEF"/>
    <w:rsid w:val="008A17BD"/>
    <w:rsid w:val="008B24FD"/>
    <w:rsid w:val="008C7942"/>
    <w:rsid w:val="008E2B05"/>
    <w:rsid w:val="0090014E"/>
    <w:rsid w:val="00912D1D"/>
    <w:rsid w:val="009218B3"/>
    <w:rsid w:val="009300B8"/>
    <w:rsid w:val="00935FA2"/>
    <w:rsid w:val="009541DA"/>
    <w:rsid w:val="00965CDA"/>
    <w:rsid w:val="00970BFA"/>
    <w:rsid w:val="00981A99"/>
    <w:rsid w:val="00995528"/>
    <w:rsid w:val="009C72AA"/>
    <w:rsid w:val="00A35F15"/>
    <w:rsid w:val="00A51743"/>
    <w:rsid w:val="00A7099E"/>
    <w:rsid w:val="00A837A9"/>
    <w:rsid w:val="00AA662A"/>
    <w:rsid w:val="00AD60EA"/>
    <w:rsid w:val="00B25D29"/>
    <w:rsid w:val="00B30140"/>
    <w:rsid w:val="00B32C5C"/>
    <w:rsid w:val="00B51229"/>
    <w:rsid w:val="00B661D9"/>
    <w:rsid w:val="00B75616"/>
    <w:rsid w:val="00B82EA5"/>
    <w:rsid w:val="00BB6CDA"/>
    <w:rsid w:val="00BE70B4"/>
    <w:rsid w:val="00C66E28"/>
    <w:rsid w:val="00C908C8"/>
    <w:rsid w:val="00C958AF"/>
    <w:rsid w:val="00CD69FB"/>
    <w:rsid w:val="00CE5832"/>
    <w:rsid w:val="00D10269"/>
    <w:rsid w:val="00D55540"/>
    <w:rsid w:val="00D65A9E"/>
    <w:rsid w:val="00D933FE"/>
    <w:rsid w:val="00DD271D"/>
    <w:rsid w:val="00DF39A8"/>
    <w:rsid w:val="00DF46E7"/>
    <w:rsid w:val="00E05412"/>
    <w:rsid w:val="00E21101"/>
    <w:rsid w:val="00E43328"/>
    <w:rsid w:val="00E74E07"/>
    <w:rsid w:val="00E755B6"/>
    <w:rsid w:val="00E85C5A"/>
    <w:rsid w:val="00E86644"/>
    <w:rsid w:val="00EA38B2"/>
    <w:rsid w:val="00EA3EDD"/>
    <w:rsid w:val="00EA4850"/>
    <w:rsid w:val="00EC6F00"/>
    <w:rsid w:val="00EE5AA7"/>
    <w:rsid w:val="00F04F4D"/>
    <w:rsid w:val="00F4008A"/>
    <w:rsid w:val="00F41271"/>
    <w:rsid w:val="00F667EC"/>
    <w:rsid w:val="00F7585C"/>
    <w:rsid w:val="00FE2A1E"/>
    <w:rsid w:val="00FF1AD6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34C570"/>
  <w15:docId w15:val="{C6A46BFA-A896-46E0-B2EE-0B30717B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6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82EA5"/>
    <w:pPr>
      <w:autoSpaceDE w:val="0"/>
      <w:autoSpaceDN w:val="0"/>
      <w:adjustRightInd w:val="0"/>
      <w:jc w:val="left"/>
    </w:pPr>
    <w:rPr>
      <w:rFonts w:ascii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2E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EA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4F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4F4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4F4D"/>
  </w:style>
  <w:style w:type="paragraph" w:styleId="Altbilgi">
    <w:name w:val="footer"/>
    <w:basedOn w:val="Normal"/>
    <w:link w:val="AltbilgiChar"/>
    <w:uiPriority w:val="99"/>
    <w:unhideWhenUsed/>
    <w:rsid w:val="00F04F4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4F4D"/>
  </w:style>
  <w:style w:type="table" w:styleId="OrtaGlgeleme2-Vurgu5">
    <w:name w:val="Medium Shading 2 Accent 5"/>
    <w:basedOn w:val="NormalTablo"/>
    <w:uiPriority w:val="64"/>
    <w:rsid w:val="00D102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Glgeleme-Vurgu6">
    <w:name w:val="Colorful Shading Accent 6"/>
    <w:basedOn w:val="NormalTablo"/>
    <w:uiPriority w:val="71"/>
    <w:rsid w:val="00D1026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Klavuz3-Vurgu3">
    <w:name w:val="Medium Grid 3 Accent 3"/>
    <w:basedOn w:val="NormalTablo"/>
    <w:uiPriority w:val="69"/>
    <w:rsid w:val="00D102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nkliListe-Vurgu4">
    <w:name w:val="Colorful List Accent 4"/>
    <w:basedOn w:val="NormalTablo"/>
    <w:uiPriority w:val="72"/>
    <w:rsid w:val="004C5DA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SayfaNumaras">
    <w:name w:val="page number"/>
    <w:basedOn w:val="VarsaylanParagrafYazTipi"/>
    <w:uiPriority w:val="99"/>
    <w:semiHidden/>
    <w:unhideWhenUsed/>
    <w:rsid w:val="00A837A9"/>
  </w:style>
  <w:style w:type="character" w:styleId="Kpr">
    <w:name w:val="Hyperlink"/>
    <w:basedOn w:val="VarsaylanParagrafYazTipi"/>
    <w:uiPriority w:val="99"/>
    <w:unhideWhenUsed/>
    <w:rsid w:val="00B75616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F4008A"/>
    <w:pPr>
      <w:jc w:val="left"/>
    </w:pPr>
    <w:rPr>
      <w:rFonts w:eastAsia="Calibri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40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D2428"/>
    <w:pPr>
      <w:jc w:val="left"/>
    </w:pPr>
    <w:rPr>
      <w:rFonts w:eastAsia="Calibri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iskin@ankara.edu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tinpiskin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86E1D-AE72-4B39-9F6B-EB3C935F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kübra berber</cp:lastModifiedBy>
  <cp:revision>3</cp:revision>
  <cp:lastPrinted>2017-02-17T14:01:00Z</cp:lastPrinted>
  <dcterms:created xsi:type="dcterms:W3CDTF">2019-11-20T15:29:00Z</dcterms:created>
  <dcterms:modified xsi:type="dcterms:W3CDTF">2019-11-21T07:02:00Z</dcterms:modified>
</cp:coreProperties>
</file>