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8562BD" w:rsidRPr="00EF0FF4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W w:w="8646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1403"/>
        <w:gridCol w:w="1067"/>
        <w:gridCol w:w="1525"/>
      </w:tblGrid>
      <w:tr w:rsidR="008E0F7D" w:rsidRPr="00414FC7" w14:paraId="4F85C3AC" w14:textId="77777777" w:rsidTr="008E0F7D">
        <w:trPr>
          <w:tblCellSpacing w:w="0" w:type="dxa"/>
        </w:trPr>
        <w:tc>
          <w:tcPr>
            <w:tcW w:w="46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C2349BF" w14:textId="324FB282" w:rsidR="008E0F7D" w:rsidRPr="00414FC7" w:rsidRDefault="008E0F7D" w:rsidP="00414FC7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YANLIŞSIZ ÖĞRETİM YÖNTEMLERİ             OSB301</w:t>
            </w:r>
          </w:p>
        </w:tc>
        <w:tc>
          <w:tcPr>
            <w:tcW w:w="140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40D0E7D3" w14:textId="61084456" w:rsidR="008E0F7D" w:rsidRPr="00414FC7" w:rsidRDefault="008E0F7D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5. Yarıyıl</w:t>
            </w:r>
          </w:p>
        </w:tc>
        <w:tc>
          <w:tcPr>
            <w:tcW w:w="1067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295A4F6A" w14:textId="403CD180" w:rsidR="008E0F7D" w:rsidRPr="00414FC7" w:rsidRDefault="008E0F7D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</w:t>
            </w: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+ 0</w:t>
            </w:r>
          </w:p>
        </w:tc>
        <w:tc>
          <w:tcPr>
            <w:tcW w:w="152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8A54D1C" w14:textId="20D48258" w:rsidR="008E0F7D" w:rsidRPr="00414FC7" w:rsidRDefault="008E0F7D" w:rsidP="008E0F7D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2                        3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F0FF4" w:rsidRPr="00EF0FF4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0AA995AB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4CEF719E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3A0BA5C7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Lisans</w:t>
            </w:r>
          </w:p>
        </w:tc>
      </w:tr>
      <w:tr w:rsidR="00EF0FF4" w:rsidRPr="00EF0FF4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5674C033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Zorunlu </w:t>
            </w:r>
          </w:p>
        </w:tc>
      </w:tr>
      <w:tr w:rsidR="00EF0FF4" w:rsidRPr="00EF0FF4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02DE8F59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 10.30-12.30</w:t>
            </w:r>
          </w:p>
        </w:tc>
      </w:tr>
      <w:tr w:rsidR="00EF0FF4" w:rsidRPr="00EF0FF4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1054D741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Gör Reşat Alatlı</w:t>
            </w:r>
          </w:p>
        </w:tc>
      </w:tr>
      <w:tr w:rsidR="00EF0FF4" w:rsidRPr="00EF0FF4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69BE996F" w:rsidR="00EF0FF4" w:rsidRPr="009B4A65" w:rsidRDefault="008E0F7D" w:rsidP="00414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Öğrencilerin, yanlış öğretim yöntemlerinde kullanılan kavramları açıklamaları, ipucunda,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pekiştireçlerde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uyaranlarda silikleştirme yapmaları, uyaran uyarlamalarının ve tepki ipuçlarının kullanıldığı yöntemleri uygulamaları ve öğretimin etkililiğini belirlemek üzere veri toplamaları ve analiz etmeleri amaçlanmaktadır.</w:t>
            </w:r>
          </w:p>
        </w:tc>
      </w:tr>
      <w:tr w:rsidR="00EF0FF4" w:rsidRPr="00EF0FF4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1E9B60F1" w:rsidR="00EF0FF4" w:rsidRPr="00414FC7" w:rsidRDefault="00FA75A0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Öğrenme, sistematik öğretim, veri toplama yöntemleri, tek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araştırma yöntemleri, yanlışsız öğretim yöntemleri</w:t>
            </w:r>
          </w:p>
        </w:tc>
      </w:tr>
      <w:tr w:rsidR="00EF0FF4" w:rsidRPr="00EF0FF4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F38F70" w14:textId="77777777" w:rsidR="00FA75A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Yanlısız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öğretim yöntemlerinde kullanılan kavramları açıklar.</w:t>
            </w:r>
          </w:p>
          <w:p w14:paraId="69F96CCA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İpuçlarında,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pekiştireçlerde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ve uyaranlarda silikleştirme yapar.</w:t>
            </w:r>
          </w:p>
          <w:p w14:paraId="63A437EE" w14:textId="210EAEB0" w:rsidR="002C26B0" w:rsidRPr="002C26B0" w:rsidRDefault="002C26B0" w:rsidP="002C26B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2C26B0">
              <w:rPr>
                <w:rFonts w:ascii="Arial" w:hAnsi="Arial" w:cs="Arial"/>
                <w:color w:val="404040"/>
                <w:sz w:val="18"/>
                <w:szCs w:val="18"/>
              </w:rPr>
              <w:t>Uyaran uyarlamalarının kullanıldığı yöntemleri açıklar.</w:t>
            </w:r>
          </w:p>
          <w:p w14:paraId="09BEE681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Uyaran uyarlamalarını öğretimde kullanır.</w:t>
            </w:r>
          </w:p>
          <w:p w14:paraId="00ADBE59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Tepki ipuçlarının kullanıldığı yöntemleri açıklar.</w:t>
            </w:r>
          </w:p>
          <w:p w14:paraId="46B7F4E3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Tek basamaklı ve zincirleme davranışların öğretiminde tepki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ipuçlarınının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kullanıldığı yöntemleri uygular.</w:t>
            </w:r>
          </w:p>
          <w:p w14:paraId="3470D024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Yanlışsız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Öğretm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yöntemlerinin benzerlik ve farklılıklarını açıklayabilir.</w:t>
            </w:r>
          </w:p>
          <w:p w14:paraId="27570D5F" w14:textId="11C605DD" w:rsidR="002C26B0" w:rsidRPr="00FA75A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Öğretimin etkililiğini belirlemek üzere yanlışsız öğretim modellerini uygulayarak veri toplar ve analiz eder.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1F1F26" w14:paraId="307D95EE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05F35FF" w14:textId="7735A4F5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Öğrenme, öğrenmenin aşamaları, sistematik öğretim, etkili öğretmen özellikleri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A71D79" w14:textId="2EE133FF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2922A0BF" w14:textId="6CDD3B36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6C01E7D0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2BD7A3A" w14:textId="34DAD036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Yanlısız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öğretim yöntemlerinde kullanılan kavramlar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A06C0CF" w14:textId="0C85C161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01FB8D0" w14:textId="0BA3494E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2F823590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6D4ECA0" w14:textId="304DA083" w:rsidR="001F1F26" w:rsidRPr="009B4A65" w:rsidRDefault="002C26B0" w:rsidP="002C2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Veri toplama yöntemleri, Verilerin grafiksel analizi, Güvenirlik analizleri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18672AC" w14:textId="6D884A88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DE9DAF9" w14:textId="6438B74A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5F673BE0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78C833A" w14:textId="1D2CC9D6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Tek-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araştırma modelleri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492EE79" w14:textId="2FEF6A6E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3D3621A" w14:textId="4E36F68D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0BC993B7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2663212" w14:textId="5E40EDDA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Tek-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araştırma modelleri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59B9A82" w14:textId="5C03CF36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D832905" w14:textId="3CC73E2E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lastRenderedPageBreak/>
              <w:t xml:space="preserve">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7659073E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C2D420F" w14:textId="5C2C7EB8" w:rsidR="00A557F6" w:rsidRPr="009B4A65" w:rsidRDefault="002C26B0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Uyaran uyarlamalarını kullanıldığı yöntemler (Uyaran silikleştirme Uyarana şekil verme, Uyarana ipucu ekleme)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4BFDDB" w14:textId="6E45DC21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156B48C" w14:textId="3F34EB07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4486A7C5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3E461EE" w14:textId="77777777" w:rsidR="002C26B0" w:rsidRDefault="002C26B0" w:rsidP="002C26B0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Eşzamanlı İpucuyla Öğretim</w:t>
            </w:r>
          </w:p>
          <w:p w14:paraId="1FC2441F" w14:textId="2839C5E4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ABC155A" w14:textId="42AFFF1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C8C1176" w14:textId="3C598140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73FE05FC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9DF8A79" w14:textId="5569BDDA" w:rsidR="00A557F6" w:rsidRPr="009B4A65" w:rsidRDefault="002C26B0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Sabit Bekleme Sürekli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D003CB" w14:textId="63A50006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4A2E79A8" w14:textId="22C6970B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2E90F9D2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9.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CFF4D72" w14:textId="4378BF30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Artan Bekleme Süreli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94AF298" w14:textId="0A9DB85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B498570" w14:textId="2DFF542F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5F8B67B2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CA8D8D" w14:textId="15BD0063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Giderek İpucunun Arttırılmasıyla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AA54DD6" w14:textId="33628F0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62A7EF12" w14:textId="7C1502C6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2FA8642A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3C3764C" w14:textId="206C70D5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Giderek İpucunun Azaltılmasıyla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C9E1813" w14:textId="6360F9A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80E8246" w14:textId="0B3058A7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4586653F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F5E6B00" w14:textId="224E6828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Aşamalı Yardımla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43BBF5B" w14:textId="2003C1E9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328F687" w14:textId="5418F833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50368843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F54434" w14:textId="10FC2BC6" w:rsidR="00A557F6" w:rsidRPr="009B4A65" w:rsidRDefault="00396EA1" w:rsidP="00A557F6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Davranış Öncesi İpucu ve Sınamayla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1466804" w14:textId="4C5376B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511354D" w14:textId="3B42551B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6D78FD1B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94025B6" w14:textId="184C9BF2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Yanlışsız Öğretim Uygulamaları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CF386C4" w14:textId="3AE03DC6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585EA44" w14:textId="2A472F4F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(Hazırlı Süresi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Dahil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A557F6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A557F6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6EA1" w:rsidRPr="00A557F6" w14:paraId="47C57013" w14:textId="77777777" w:rsidTr="0045759D">
        <w:tc>
          <w:tcPr>
            <w:tcW w:w="9062" w:type="dxa"/>
            <w:vAlign w:val="center"/>
            <w:hideMark/>
          </w:tcPr>
          <w:p w14:paraId="46E484BF" w14:textId="54110936" w:rsidR="00396EA1" w:rsidRPr="00A557F6" w:rsidRDefault="0045759D" w:rsidP="00396EA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T</w:t>
            </w:r>
            <w:r w:rsidR="00396EA1">
              <w:rPr>
                <w:rFonts w:ascii="Arial" w:hAnsi="Arial" w:cs="Arial"/>
                <w:color w:val="404040"/>
                <w:sz w:val="18"/>
                <w:szCs w:val="18"/>
              </w:rPr>
              <w:t>ekin İftar, E. (Ed.). (2012). Otizm Spektrum Olan Çocuklar ve eğitimleri. Vize yayıncılık.</w:t>
            </w:r>
          </w:p>
        </w:tc>
      </w:tr>
      <w:tr w:rsidR="00396EA1" w:rsidRPr="00A557F6" w14:paraId="7034D941" w14:textId="77777777" w:rsidTr="0045759D">
        <w:tc>
          <w:tcPr>
            <w:tcW w:w="9062" w:type="dxa"/>
            <w:vAlign w:val="center"/>
            <w:hideMark/>
          </w:tcPr>
          <w:p w14:paraId="7C6956D3" w14:textId="27F65D4B" w:rsidR="00396EA1" w:rsidRPr="00A557F6" w:rsidRDefault="00396EA1" w:rsidP="00396EA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Tekin İftar, E. (Ed.). (2012). Uygulamalı Davranış Analizi. Vize yayıncılık.</w:t>
            </w:r>
          </w:p>
        </w:tc>
      </w:tr>
      <w:tr w:rsidR="00396EA1" w:rsidRPr="00A557F6" w14:paraId="5797A904" w14:textId="77777777" w:rsidTr="0045759D">
        <w:tc>
          <w:tcPr>
            <w:tcW w:w="9062" w:type="dxa"/>
            <w:vAlign w:val="center"/>
            <w:hideMark/>
          </w:tcPr>
          <w:p w14:paraId="367F9584" w14:textId="2795743E" w:rsidR="00396EA1" w:rsidRPr="00A557F6" w:rsidRDefault="00396EA1" w:rsidP="00396EA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Tekin İftar, E. (Ed.). (2014). Tek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 Araştırma Yöntemleri. Türk Psikologlar Derneği Yayınları.</w:t>
            </w:r>
          </w:p>
        </w:tc>
      </w:tr>
    </w:tbl>
    <w:p w14:paraId="44A312DF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115B7C5E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1ECB1924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6A01C649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46E23779" w14:textId="7090470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lastRenderedPageBreak/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E0539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2101B63F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565513DF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472737" w14:paraId="323FC5C4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90FEE4D" w14:textId="29345203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35CE80" w14:textId="18E826AF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472737" w14:paraId="3CE0F63C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0EC8CB" w14:textId="371C9C3C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39E3B1" w14:textId="1D20C4CB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2E306C4D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PY9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0D2A6296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2E958CCD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2E14C8DE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2DCE1700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6E6AC536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5"/>
        <w:gridCol w:w="963"/>
        <w:gridCol w:w="1159"/>
        <w:gridCol w:w="2375"/>
      </w:tblGrid>
      <w:tr w:rsidR="006E4A37" w14:paraId="54ADECE8" w14:textId="71492610" w:rsidTr="00472737">
        <w:tc>
          <w:tcPr>
            <w:tcW w:w="45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6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1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24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6E4A37" w14:paraId="24797C9B" w14:textId="705568EE" w:rsidTr="00472737">
        <w:tc>
          <w:tcPr>
            <w:tcW w:w="45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Ders Süresi (hafta sayısı* haftalık toplam ders saati)</w:t>
            </w:r>
          </w:p>
        </w:tc>
        <w:tc>
          <w:tcPr>
            <w:tcW w:w="96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2737" w:rsidRPr="00472737" w14:paraId="5F0EFFE3" w14:textId="77777777" w:rsidTr="00472737">
        <w:tc>
          <w:tcPr>
            <w:tcW w:w="0" w:type="auto"/>
            <w:hideMark/>
          </w:tcPr>
          <w:p w14:paraId="3FD2C1EA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Ders Süresi (hafta sayısı* haftalık toplam ders saati)x</w:t>
            </w:r>
          </w:p>
        </w:tc>
        <w:tc>
          <w:tcPr>
            <w:tcW w:w="0" w:type="auto"/>
            <w:hideMark/>
          </w:tcPr>
          <w:p w14:paraId="136603CE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68" w:type="dxa"/>
            <w:hideMark/>
          </w:tcPr>
          <w:p w14:paraId="4BACA87D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404" w:type="dxa"/>
            <w:hideMark/>
          </w:tcPr>
          <w:p w14:paraId="39C89528" w14:textId="6500BA97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28</w:t>
            </w:r>
          </w:p>
        </w:tc>
      </w:tr>
      <w:tr w:rsidR="00472737" w:rsidRPr="00472737" w14:paraId="15AD52D1" w14:textId="77777777" w:rsidTr="00472737">
        <w:tc>
          <w:tcPr>
            <w:tcW w:w="0" w:type="auto"/>
            <w:hideMark/>
          </w:tcPr>
          <w:p w14:paraId="5D7B97EE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Sınıf Dışı Ders Çalışma Süresi (</w:t>
            </w: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Önçalışma</w:t>
            </w:r>
            <w:proofErr w:type="spellEnd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Pekiştirme)</w:t>
            </w:r>
          </w:p>
        </w:tc>
        <w:tc>
          <w:tcPr>
            <w:tcW w:w="0" w:type="auto"/>
            <w:hideMark/>
          </w:tcPr>
          <w:p w14:paraId="698077F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68" w:type="dxa"/>
            <w:hideMark/>
          </w:tcPr>
          <w:p w14:paraId="0086941A" w14:textId="7703B9ED" w:rsidR="00472737" w:rsidRPr="00472737" w:rsidRDefault="0045759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404" w:type="dxa"/>
            <w:hideMark/>
          </w:tcPr>
          <w:p w14:paraId="45EC4F5C" w14:textId="3A0838B3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28</w:t>
            </w:r>
          </w:p>
        </w:tc>
      </w:tr>
      <w:tr w:rsidR="00472737" w:rsidRPr="00472737" w14:paraId="5278B6CB" w14:textId="77777777" w:rsidTr="00472737">
        <w:tc>
          <w:tcPr>
            <w:tcW w:w="0" w:type="auto"/>
            <w:hideMark/>
          </w:tcPr>
          <w:p w14:paraId="354EEB6D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</w:p>
        </w:tc>
        <w:tc>
          <w:tcPr>
            <w:tcW w:w="0" w:type="auto"/>
            <w:hideMark/>
          </w:tcPr>
          <w:p w14:paraId="2FAA83B9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3B8C22DB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04" w:type="dxa"/>
            <w:hideMark/>
          </w:tcPr>
          <w:p w14:paraId="0A21EC7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</w:tr>
      <w:tr w:rsidR="00472737" w:rsidRPr="00472737" w14:paraId="37CEE5AA" w14:textId="77777777" w:rsidTr="00472737">
        <w:tc>
          <w:tcPr>
            <w:tcW w:w="0" w:type="auto"/>
            <w:hideMark/>
          </w:tcPr>
          <w:p w14:paraId="7C095A5E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Hazırlık</w:t>
            </w:r>
          </w:p>
        </w:tc>
        <w:tc>
          <w:tcPr>
            <w:tcW w:w="0" w:type="auto"/>
            <w:hideMark/>
          </w:tcPr>
          <w:p w14:paraId="0DDCB31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66CE9B2B" w14:textId="0F3913C6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404" w:type="dxa"/>
            <w:hideMark/>
          </w:tcPr>
          <w:p w14:paraId="1F23B476" w14:textId="1513E11F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</w:tr>
      <w:tr w:rsidR="00472737" w:rsidRPr="00472737" w14:paraId="403B7371" w14:textId="77777777" w:rsidTr="00472737">
        <w:tc>
          <w:tcPr>
            <w:tcW w:w="0" w:type="auto"/>
            <w:hideMark/>
          </w:tcPr>
          <w:p w14:paraId="174D7996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</w:t>
            </w:r>
          </w:p>
        </w:tc>
        <w:tc>
          <w:tcPr>
            <w:tcW w:w="0" w:type="auto"/>
            <w:hideMark/>
          </w:tcPr>
          <w:p w14:paraId="123E2645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754ED01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04" w:type="dxa"/>
            <w:hideMark/>
          </w:tcPr>
          <w:p w14:paraId="6B914CC8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</w:tr>
      <w:tr w:rsidR="00472737" w:rsidRPr="00472737" w14:paraId="03D97BA6" w14:textId="77777777" w:rsidTr="00472737">
        <w:tc>
          <w:tcPr>
            <w:tcW w:w="0" w:type="auto"/>
            <w:hideMark/>
          </w:tcPr>
          <w:p w14:paraId="43C88759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 Hazırlık</w:t>
            </w:r>
          </w:p>
        </w:tc>
        <w:tc>
          <w:tcPr>
            <w:tcW w:w="0" w:type="auto"/>
            <w:hideMark/>
          </w:tcPr>
          <w:p w14:paraId="7EFD3E3D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5449B35A" w14:textId="2311EABB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404" w:type="dxa"/>
            <w:hideMark/>
          </w:tcPr>
          <w:p w14:paraId="2A727404" w14:textId="088BD33B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</w:tr>
      <w:tr w:rsidR="00472737" w:rsidRPr="00472737" w14:paraId="5D712D3E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496939A4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</w:t>
            </w:r>
          </w:p>
        </w:tc>
        <w:tc>
          <w:tcPr>
            <w:tcW w:w="0" w:type="auto"/>
            <w:hideMark/>
          </w:tcPr>
          <w:p w14:paraId="64D5141B" w14:textId="3493EFAD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98</w:t>
            </w:r>
          </w:p>
        </w:tc>
      </w:tr>
      <w:tr w:rsidR="00472737" w:rsidRPr="00472737" w14:paraId="4C0DC593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59E190C5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 / 30 (s)</w:t>
            </w:r>
          </w:p>
        </w:tc>
        <w:tc>
          <w:tcPr>
            <w:tcW w:w="0" w:type="auto"/>
            <w:hideMark/>
          </w:tcPr>
          <w:p w14:paraId="3D7BA8F6" w14:textId="38AE40E7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3,27</w:t>
            </w:r>
          </w:p>
        </w:tc>
      </w:tr>
      <w:tr w:rsidR="00472737" w:rsidRPr="00472737" w14:paraId="3CD900DF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47617AEF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Dersin AKTS Kredisi</w:t>
            </w:r>
          </w:p>
        </w:tc>
        <w:tc>
          <w:tcPr>
            <w:tcW w:w="0" w:type="auto"/>
            <w:hideMark/>
          </w:tcPr>
          <w:p w14:paraId="01B5F733" w14:textId="591F8173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  <w:bookmarkStart w:id="0" w:name="_GoBack"/>
            <w:bookmarkEnd w:id="0"/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55A1A"/>
    <w:multiLevelType w:val="hybridMultilevel"/>
    <w:tmpl w:val="0D8294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D4F0F"/>
    <w:rsid w:val="0014537B"/>
    <w:rsid w:val="0017502D"/>
    <w:rsid w:val="001F1F26"/>
    <w:rsid w:val="002C26B0"/>
    <w:rsid w:val="00396EA1"/>
    <w:rsid w:val="00414FC7"/>
    <w:rsid w:val="00415F86"/>
    <w:rsid w:val="0045759D"/>
    <w:rsid w:val="00472737"/>
    <w:rsid w:val="006075C9"/>
    <w:rsid w:val="00635E16"/>
    <w:rsid w:val="006C198C"/>
    <w:rsid w:val="006C7A18"/>
    <w:rsid w:val="006E4A37"/>
    <w:rsid w:val="007376EE"/>
    <w:rsid w:val="007F61CB"/>
    <w:rsid w:val="008562BD"/>
    <w:rsid w:val="00875690"/>
    <w:rsid w:val="008E0F7D"/>
    <w:rsid w:val="00914608"/>
    <w:rsid w:val="009B4A65"/>
    <w:rsid w:val="009D1479"/>
    <w:rsid w:val="00A557F6"/>
    <w:rsid w:val="00B96146"/>
    <w:rsid w:val="00D956FF"/>
    <w:rsid w:val="00DC1452"/>
    <w:rsid w:val="00E0539E"/>
    <w:rsid w:val="00E85895"/>
    <w:rsid w:val="00EE3D00"/>
    <w:rsid w:val="00EF0FF4"/>
    <w:rsid w:val="00FA75A0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XYZ</cp:lastModifiedBy>
  <cp:revision>2</cp:revision>
  <dcterms:created xsi:type="dcterms:W3CDTF">2019-11-21T12:58:00Z</dcterms:created>
  <dcterms:modified xsi:type="dcterms:W3CDTF">2019-11-21T12:58:00Z</dcterms:modified>
</cp:coreProperties>
</file>