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50" w:rsidRPr="00BC2650" w:rsidRDefault="00BC2650" w:rsidP="00C83303">
      <w:pPr>
        <w:jc w:val="center"/>
        <w:rPr>
          <w:sz w:val="20"/>
          <w:szCs w:val="20"/>
        </w:rPr>
      </w:pPr>
      <w:r w:rsidRPr="00BC2650">
        <w:rPr>
          <w:b/>
          <w:sz w:val="20"/>
          <w:szCs w:val="20"/>
        </w:rPr>
        <w:t>Ankara Üniversitesi</w:t>
      </w:r>
      <w:r w:rsidRPr="00BC2650">
        <w:rPr>
          <w:b/>
          <w:sz w:val="20"/>
          <w:szCs w:val="20"/>
        </w:rPr>
        <w:br/>
        <w:t xml:space="preserve">Kütüphane ve Dokümantasyon Daire Başkanlığı </w:t>
      </w:r>
    </w:p>
    <w:p w:rsidR="00BC2650" w:rsidRPr="00BC2650" w:rsidRDefault="00BC2650" w:rsidP="00C83303">
      <w:pPr>
        <w:jc w:val="center"/>
        <w:rPr>
          <w:b/>
          <w:sz w:val="20"/>
          <w:szCs w:val="20"/>
        </w:rPr>
      </w:pPr>
      <w:r w:rsidRPr="00BC2650">
        <w:rPr>
          <w:b/>
          <w:sz w:val="20"/>
          <w:szCs w:val="20"/>
        </w:rPr>
        <w:t>Açık Ders Malzemeleri</w:t>
      </w:r>
    </w:p>
    <w:p w:rsidR="00BC2650" w:rsidRPr="00BC2650" w:rsidRDefault="00BC2650" w:rsidP="00C83303">
      <w:pPr>
        <w:pStyle w:val="Basliklar"/>
        <w:jc w:val="center"/>
        <w:rPr>
          <w:szCs w:val="20"/>
        </w:rPr>
      </w:pPr>
    </w:p>
    <w:p w:rsidR="00BC2650" w:rsidRPr="00BC2650" w:rsidRDefault="00BC2650" w:rsidP="00BC2650">
      <w:pPr>
        <w:pStyle w:val="Basliklar"/>
        <w:jc w:val="center"/>
        <w:rPr>
          <w:szCs w:val="20"/>
        </w:rPr>
      </w:pPr>
      <w:r w:rsidRPr="00BC2650">
        <w:rPr>
          <w:szCs w:val="20"/>
        </w:rPr>
        <w:t>Ders izlence Formu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1401"/>
        <w:gridCol w:w="1066"/>
        <w:gridCol w:w="1523"/>
        <w:gridCol w:w="771"/>
        <w:gridCol w:w="762"/>
      </w:tblGrid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Kodu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Yarıyıl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T+U Saat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U.Kredi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AKTS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457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Öğrenme Güçlüğü</w:t>
            </w:r>
            <w:r>
              <w:t xml:space="preserve"> ve Özel Yetenek</w:t>
            </w:r>
          </w:p>
        </w:tc>
        <w:tc>
          <w:tcPr>
            <w:tcW w:w="138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A84D52" w:rsidP="006E449C">
            <w:r>
              <w:t>ÖE</w:t>
            </w:r>
            <w:r w:rsidR="006E449C">
              <w:t>Z</w:t>
            </w:r>
            <w:r>
              <w:t xml:space="preserve"> 10</w:t>
            </w:r>
            <w:r w:rsidR="006E449C">
              <w:t>6</w:t>
            </w:r>
            <w:bookmarkStart w:id="0" w:name="_GoBack"/>
            <w:bookmarkEnd w:id="0"/>
          </w:p>
        </w:tc>
        <w:tc>
          <w:tcPr>
            <w:tcW w:w="105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>
              <w:t>2</w:t>
            </w:r>
            <w:r w:rsidRPr="00EB44C3">
              <w:t>. Yarıyıl</w:t>
            </w:r>
          </w:p>
        </w:tc>
        <w:tc>
          <w:tcPr>
            <w:tcW w:w="150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2E1DBE" w:rsidP="00EB44C3">
            <w:r>
              <w:t>2</w:t>
            </w:r>
          </w:p>
        </w:tc>
        <w:tc>
          <w:tcPr>
            <w:tcW w:w="75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82A18" w:rsidP="00EB44C3">
            <w:r>
              <w:t>2</w:t>
            </w:r>
            <w:r w:rsidR="00EB44C3" w:rsidRPr="00EB44C3">
              <w:t>,0</w:t>
            </w:r>
          </w:p>
        </w:tc>
        <w:tc>
          <w:tcPr>
            <w:tcW w:w="750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82A18" w:rsidP="00EB44C3">
            <w:r>
              <w:t>3</w:t>
            </w:r>
          </w:p>
        </w:tc>
      </w:tr>
    </w:tbl>
    <w:p w:rsidR="00EB44C3" w:rsidRPr="00EB44C3" w:rsidRDefault="00EB44C3" w:rsidP="00EB44C3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7455"/>
      </w:tblGrid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Ön Koşullar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Yok</w:t>
            </w:r>
          </w:p>
        </w:tc>
      </w:tr>
    </w:tbl>
    <w:p w:rsidR="00EB44C3" w:rsidRPr="00EB44C3" w:rsidRDefault="00EB44C3" w:rsidP="00EB44C3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7455"/>
      </w:tblGrid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Dili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Türkçe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Düzeyi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Lisans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Türü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>
              <w:t>Zorunlu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Verilişi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Anlatım</w:t>
            </w:r>
            <w:r w:rsidR="00A23B95">
              <w:t xml:space="preserve"> </w:t>
            </w:r>
            <w:r w:rsidR="00A23B95" w:rsidRPr="00A23B95">
              <w:t>ve okuma materyallerinin sınıfta tartışılması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Koordinatörü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Doç.</w:t>
            </w:r>
            <w:r w:rsidR="001464AE">
              <w:t xml:space="preserve"> </w:t>
            </w:r>
            <w:r w:rsidRPr="00EB44C3">
              <w:t>Dr. Cevriye ERGÜL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 Verenler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Doç.</w:t>
            </w:r>
            <w:r w:rsidR="001464AE">
              <w:t xml:space="preserve"> </w:t>
            </w:r>
            <w:r w:rsidRPr="00EB44C3">
              <w:t>Dr. Cevriye ERGÜL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Yardımcıları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Amacı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1464AE" w:rsidRDefault="001464AE" w:rsidP="00EB44C3">
            <w:proofErr w:type="gramStart"/>
            <w:r w:rsidRPr="001464AE">
              <w:t>Bu derste öğrencilerin öğrenme güçlü</w:t>
            </w:r>
            <w:r>
              <w:t>klerini</w:t>
            </w:r>
            <w:r w:rsidRPr="001464AE">
              <w:t>, nedenlerini, tanılanma ölçütlerini ve değerlendirme sürecini, erken çocukluk ve okul öncesi dönemde öğrenme güçlüğü gö</w:t>
            </w:r>
            <w:r w:rsidR="00F82A18">
              <w:t>steren çocukların özelliklerini ve</w:t>
            </w:r>
            <w:r w:rsidRPr="001464AE">
              <w:t xml:space="preserve"> ilköğretim yıllarında öğrenme güçlüğü gösteren öğrencilerin okuma, yazma, matematik ve sosyal beceri problemlerini tanımlayabilmeleri </w:t>
            </w:r>
            <w:r>
              <w:t>ile özel yetenek tanımlarını, kuramsal yaklaşımları, özel yetenekli öğrenciler</w:t>
            </w:r>
            <w:r w:rsidR="00F82A18">
              <w:t>in özelliklerini, gelişimlerini ve</w:t>
            </w:r>
            <w:r>
              <w:t xml:space="preserve"> tanılama süreçlerini tanımlayabilmeleri </w:t>
            </w:r>
            <w:r w:rsidRPr="001464AE">
              <w:t xml:space="preserve">amaçlanmaktadır. </w:t>
            </w:r>
            <w:proofErr w:type="gramEnd"/>
          </w:p>
          <w:p w:rsidR="00EB44C3" w:rsidRPr="00EB44C3" w:rsidRDefault="00EB44C3" w:rsidP="00EB44C3"/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İçeriği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A71A16" w:rsidP="00F82A18">
            <w:proofErr w:type="gramStart"/>
            <w:r w:rsidRPr="001464AE">
              <w:t>Öğrenme güçlü</w:t>
            </w:r>
            <w:r>
              <w:t>kleri</w:t>
            </w:r>
            <w:r w:rsidRPr="001464AE">
              <w:t xml:space="preserve">, nedenleri, tanılanma ölçütleri ve değerlendirme süreci, erken çocukluk ve okul öncesi dönemde öğrenme güçlüğü </w:t>
            </w:r>
            <w:r w:rsidR="00F82A18">
              <w:t>gösteren çocukların özellikleri ve</w:t>
            </w:r>
            <w:r w:rsidRPr="001464AE">
              <w:t xml:space="preserve"> ilköğretim yıllarında öğrenme güçlüğü gösteren öğrencilerin okuma, yazma, matematik ve sosyal beceri problemleri </w:t>
            </w:r>
            <w:r>
              <w:t>ile özel yetenek tanımları, kuramsal yaklaşımları, özel yetenekli öğrenc</w:t>
            </w:r>
            <w:r w:rsidR="00F82A18">
              <w:t>ilerin özellikleri, gelişimleri ve</w:t>
            </w:r>
            <w:r>
              <w:t xml:space="preserve"> tanılama süreçleri bu dersin içeriğini oluşturmaktadır.</w:t>
            </w:r>
            <w:proofErr w:type="gramEnd"/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lastRenderedPageBreak/>
              <w:t>Ders Öğrenme Kazanımları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74A16" w:rsidRDefault="00E74A16" w:rsidP="00E74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>1. Öğrenme güçlüğünü tanımlar.</w:t>
            </w: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2. Öğrenme güçlüğüne yol açan nedenleri tanımlar.</w:t>
            </w: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3. Öğrenme güçlüğü ile tanılanma ölçütlerini ve değerlendirme sürecini tanımlar.</w:t>
            </w: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4. Erken çocukluk ve okul öncesi dönemde öğrenme güçlüğü gösteren çocukların özelliklerini tanımlar.</w:t>
            </w: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5. İlköğretim yıllarında öğrenme güçlüğü gösteren öğrencilerin okuma problemlerini tanımlar.</w:t>
            </w:r>
          </w:p>
          <w:p w:rsidR="00460948" w:rsidRDefault="00E74A16" w:rsidP="004609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6. </w:t>
            </w:r>
            <w:r w:rsidR="00460948"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>İlköğretim yıllarında öğrenme güçlüğü gösteren öğrencilerin oku</w:t>
            </w:r>
            <w:r w:rsidR="00460948">
              <w:rPr>
                <w:rFonts w:ascii="Calibri" w:eastAsia="Times New Roman" w:hAnsi="Calibri" w:cs="Times New Roman"/>
                <w:color w:val="000000"/>
                <w:lang w:eastAsia="tr-TR"/>
              </w:rPr>
              <w:t>duğunu anlama</w:t>
            </w:r>
            <w:r w:rsidR="00460948"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problemlerini tanımlar.</w:t>
            </w:r>
          </w:p>
          <w:p w:rsidR="00E74A16" w:rsidRPr="001464AE" w:rsidRDefault="00460948" w:rsidP="00E74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7. </w:t>
            </w:r>
            <w:r w:rsidR="00E74A16"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>İlköğretim yıllarında öğrenme güçlüğü gösteren öğrencilerin yazma problemlerini tanımlar.</w:t>
            </w:r>
          </w:p>
          <w:p w:rsidR="00E74A16" w:rsidRPr="001464AE" w:rsidRDefault="00460948" w:rsidP="00E74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  <w:r w:rsidR="00E74A16"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>. İlköğretim yıllarında öğrenme güçlüğü gösteren öğrencilerin matematik problemlerini tanımlar.</w:t>
            </w:r>
          </w:p>
          <w:p w:rsidR="00E74A16" w:rsidRDefault="00E74A16" w:rsidP="00E74A16">
            <w:pPr>
              <w:spacing w:after="0" w:line="240" w:lineRule="auto"/>
              <w:contextualSpacing/>
            </w:pPr>
            <w:r w:rsidRPr="001464A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9.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</w:t>
            </w:r>
            <w:r>
              <w:t xml:space="preserve">zel yeteneği tanımlar. </w:t>
            </w:r>
          </w:p>
          <w:p w:rsidR="00E74A16" w:rsidRDefault="00E74A16" w:rsidP="00E74A16">
            <w:pPr>
              <w:spacing w:after="0" w:line="240" w:lineRule="auto"/>
              <w:contextualSpacing/>
            </w:pPr>
            <w:r>
              <w:t>1</w:t>
            </w:r>
            <w:r w:rsidR="00460948">
              <w:t>0</w:t>
            </w:r>
            <w:r>
              <w:t xml:space="preserve">. Özel yeteneğe ilişkin kuramsal yaklaşımları tanımlar. </w:t>
            </w:r>
          </w:p>
          <w:p w:rsidR="00E74A16" w:rsidRDefault="00460948" w:rsidP="00E74A16">
            <w:pPr>
              <w:spacing w:after="0" w:line="240" w:lineRule="auto"/>
              <w:contextualSpacing/>
            </w:pPr>
            <w:r>
              <w:t>11</w:t>
            </w:r>
            <w:r w:rsidR="00E74A16">
              <w:t xml:space="preserve">. Özel yetenekli öğrencilerin özelliklerini tanımlar. </w:t>
            </w:r>
          </w:p>
          <w:p w:rsidR="00F82A18" w:rsidRDefault="00F82A18" w:rsidP="00F82A18">
            <w:pPr>
              <w:spacing w:after="0" w:line="240" w:lineRule="auto"/>
              <w:contextualSpacing/>
            </w:pPr>
            <w:r>
              <w:t xml:space="preserve">12. Özel yetenekli öğrencilerin gelişimlerini tanımlar. </w:t>
            </w:r>
          </w:p>
          <w:p w:rsidR="00E74A16" w:rsidRDefault="00F82A18" w:rsidP="00E74A16">
            <w:pPr>
              <w:spacing w:after="0" w:line="240" w:lineRule="auto"/>
              <w:contextualSpacing/>
            </w:pPr>
            <w:r>
              <w:t>13</w:t>
            </w:r>
            <w:r w:rsidR="00E74A16">
              <w:t>. Özel yetenekli öğrencilerin tanılama süreçlerini tanımlar.</w:t>
            </w:r>
          </w:p>
          <w:p w:rsidR="00E74A16" w:rsidRPr="00EB44C3" w:rsidRDefault="00E74A16" w:rsidP="00E74A16"/>
        </w:tc>
      </w:tr>
    </w:tbl>
    <w:p w:rsidR="00EB44C3" w:rsidRPr="00EB44C3" w:rsidRDefault="00EB44C3" w:rsidP="00EB44C3"/>
    <w:p w:rsidR="00EB44C3" w:rsidRPr="00EB44C3" w:rsidRDefault="00EB44C3" w:rsidP="00EB44C3">
      <w:r w:rsidRPr="00EB44C3">
        <w:t>HAFTALIK KONULAR (İÇERIK)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4392"/>
        <w:gridCol w:w="2476"/>
        <w:gridCol w:w="2503"/>
      </w:tblGrid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Konular</w:t>
            </w:r>
          </w:p>
        </w:tc>
        <w:tc>
          <w:tcPr>
            <w:tcW w:w="165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Öğrenme Faaliyetleri</w:t>
            </w:r>
          </w:p>
        </w:tc>
        <w:tc>
          <w:tcPr>
            <w:tcW w:w="1650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Öğretim, Yöntem, Teknik ve Yaklaşımları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1C0CD8" w:rsidP="00B1337E">
            <w:r w:rsidRPr="001C0CD8">
              <w:t>Öğrenme güçlüğünün tanımı</w:t>
            </w:r>
            <w:r>
              <w:t xml:space="preserve"> </w:t>
            </w:r>
            <w:r w:rsidR="00035A6D">
              <w:t>ve nedenleri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2.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A3EC6">
            <w:r>
              <w:t>Ö</w:t>
            </w:r>
            <w:r w:rsidRPr="001C0CD8">
              <w:t>ğrenme güçlüğü gösteren çocukların</w:t>
            </w:r>
            <w:r>
              <w:t xml:space="preserve"> algısal, dilsel, dikkat, bellek ve sosyal</w:t>
            </w:r>
            <w:r w:rsidRPr="001C0CD8">
              <w:t xml:space="preserve"> özellikleri</w:t>
            </w:r>
            <w:r>
              <w:t xml:space="preserve">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3.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A3EC6">
            <w:r>
              <w:t>Ö</w:t>
            </w:r>
            <w:r w:rsidR="001C0CD8" w:rsidRPr="001C0CD8">
              <w:t>ğrenme güçlüğü gösteren çocukların</w:t>
            </w:r>
            <w:r>
              <w:t xml:space="preserve"> algısal, dilsel, dikkat, bellek ve sosyal</w:t>
            </w:r>
            <w:r w:rsidR="001C0CD8" w:rsidRPr="001C0CD8">
              <w:t xml:space="preserve"> özellikleri</w:t>
            </w:r>
            <w:r>
              <w:t>-devam</w:t>
            </w:r>
            <w:r w:rsidR="001C0CD8">
              <w:t xml:space="preserve">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4.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A3EC6">
            <w:r w:rsidRPr="001C0CD8">
              <w:t>Öğrenme güçlüğü ile tanılanma ölçütleri</w:t>
            </w:r>
            <w:r>
              <w:t xml:space="preserve"> ve</w:t>
            </w:r>
            <w:r w:rsidRPr="001C0CD8">
              <w:t xml:space="preserve"> değerlendirme süreci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5.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82A18">
            <w:r w:rsidRPr="001C0CD8">
              <w:t xml:space="preserve">İlköğretim yıllarında öğrenme güçlüğü gösteren öğrencilerin </w:t>
            </w:r>
            <w:r>
              <w:t>sözel dil</w:t>
            </w:r>
            <w:r w:rsidRPr="001C0CD8">
              <w:t xml:space="preserve"> problemleri</w:t>
            </w:r>
            <w:r>
              <w:t xml:space="preserve">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6.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82A18">
            <w:r w:rsidRPr="001C0CD8">
              <w:t xml:space="preserve">İlköğretim yıllarında öğrenme güçlüğü gösteren öğrencilerin </w:t>
            </w:r>
            <w:r>
              <w:t xml:space="preserve">okuma </w:t>
            </w:r>
            <w:r w:rsidRPr="001C0CD8">
              <w:t>problemleri</w:t>
            </w:r>
            <w:r>
              <w:t xml:space="preserve">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7.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82A18">
            <w:r w:rsidRPr="001C0CD8">
              <w:t xml:space="preserve">İlköğretim yıllarında öğrenme güçlüğü gösteren öğrencilerin </w:t>
            </w:r>
            <w:r>
              <w:t xml:space="preserve">okuduğunu anlama </w:t>
            </w:r>
            <w:r w:rsidRPr="001C0CD8">
              <w:t>problemleri</w:t>
            </w:r>
            <w:r>
              <w:t xml:space="preserve">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8.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Ara Sınav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lastRenderedPageBreak/>
              <w:t>9.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82A18">
            <w:pPr>
              <w:spacing w:after="0" w:line="240" w:lineRule="auto"/>
              <w:contextualSpacing/>
            </w:pPr>
            <w:r w:rsidRPr="001C0CD8">
              <w:t xml:space="preserve">İlköğretim yıllarında öğrenme güçlüğü gösteren öğrencilerin </w:t>
            </w:r>
            <w:r>
              <w:t>yazma</w:t>
            </w:r>
            <w:r w:rsidRPr="001C0CD8">
              <w:t xml:space="preserve"> problemleri</w:t>
            </w:r>
            <w:r>
              <w:t xml:space="preserve">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10.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FA3EC6" w:rsidRDefault="00FA3EC6" w:rsidP="00FA3EC6">
            <w:pPr>
              <w:spacing w:after="0" w:line="240" w:lineRule="auto"/>
              <w:contextualSpacing/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</w:t>
            </w:r>
            <w:r>
              <w:t xml:space="preserve">zel yeteneğin tanımları ve tarihçe </w:t>
            </w:r>
          </w:p>
          <w:p w:rsidR="00EB44C3" w:rsidRPr="00EB44C3" w:rsidRDefault="00EB44C3" w:rsidP="00FA3EC6">
            <w:pPr>
              <w:spacing w:after="0" w:line="240" w:lineRule="auto"/>
              <w:contextualSpacing/>
            </w:pP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11.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FA3EC6" w:rsidRDefault="00FA3EC6" w:rsidP="00FA3EC6">
            <w:pPr>
              <w:spacing w:after="0" w:line="240" w:lineRule="auto"/>
              <w:contextualSpacing/>
            </w:pPr>
            <w:r>
              <w:t xml:space="preserve">Özel yeteneğe ilişkin kuramsal yaklaşımlar </w:t>
            </w:r>
          </w:p>
          <w:p w:rsidR="00EB44C3" w:rsidRPr="00EB44C3" w:rsidRDefault="00EB44C3" w:rsidP="00FA3EC6">
            <w:pPr>
              <w:spacing w:after="0" w:line="240" w:lineRule="auto"/>
              <w:contextualSpacing/>
            </w:pP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12.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A3EC6" w:rsidP="00F82A18">
            <w:pPr>
              <w:spacing w:after="0" w:line="240" w:lineRule="auto"/>
              <w:contextualSpacing/>
            </w:pPr>
            <w:r>
              <w:t xml:space="preserve">Özel yetenekli öğrencilerin özellikleri 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13.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F82A18" w:rsidRDefault="00F82A18" w:rsidP="00F82A18">
            <w:pPr>
              <w:spacing w:after="0" w:line="240" w:lineRule="auto"/>
              <w:contextualSpacing/>
            </w:pPr>
            <w:r>
              <w:t>Özel yetenekli öğrencilerin gelişimleri</w:t>
            </w:r>
          </w:p>
          <w:p w:rsidR="00EB44C3" w:rsidRPr="00EB44C3" w:rsidRDefault="00EB44C3" w:rsidP="0004340D">
            <w:pPr>
              <w:spacing w:after="0" w:line="240" w:lineRule="auto"/>
              <w:contextualSpacing/>
            </w:pP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14.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F82A18" w:rsidRDefault="00F82A18" w:rsidP="00F82A18">
            <w:pPr>
              <w:spacing w:after="0" w:line="240" w:lineRule="auto"/>
              <w:contextualSpacing/>
            </w:pPr>
            <w:r>
              <w:t>Özel yetenekli öğrencilerin tanılanması</w:t>
            </w:r>
          </w:p>
          <w:p w:rsidR="00EB44C3" w:rsidRPr="00EB44C3" w:rsidRDefault="00EB44C3" w:rsidP="0004340D"/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Konu anlatımı, soru-cevap-tartışma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15.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3D6704" w:rsidP="00EB44C3">
            <w:r>
              <w:t>Öğrencilerin proje ödevlerinin sunumları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8C0711" w:rsidP="00EB44C3">
            <w:r>
              <w:t>Öğrenci sunumları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90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16. Hafta</w:t>
            </w:r>
          </w:p>
        </w:tc>
        <w:tc>
          <w:tcPr>
            <w:tcW w:w="58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Final Sınavı</w:t>
            </w:r>
          </w:p>
        </w:tc>
        <w:tc>
          <w:tcPr>
            <w:tcW w:w="3150" w:type="dxa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  <w:tc>
          <w:tcPr>
            <w:tcW w:w="315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/>
        </w:tc>
      </w:tr>
    </w:tbl>
    <w:p w:rsidR="00EB44C3" w:rsidRPr="00EB44C3" w:rsidRDefault="00EB44C3" w:rsidP="00EB44C3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Kaynaklar</w:t>
            </w:r>
          </w:p>
        </w:tc>
      </w:tr>
      <w:tr w:rsidR="00EB44C3" w:rsidRPr="00EB44C3" w:rsidTr="00283326">
        <w:trPr>
          <w:tblCellSpacing w:w="0" w:type="dxa"/>
        </w:trPr>
        <w:tc>
          <w:tcPr>
            <w:tcW w:w="1017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83326" w:rsidRDefault="00283326" w:rsidP="00283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Lerner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J. (2000). Learning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Disabilities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(8th. Ed.). Boston, MA, USA: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Houghton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Mifflin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  <w:p w:rsidR="00283326" w:rsidRDefault="00283326" w:rsidP="00283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283326" w:rsidRDefault="00283326" w:rsidP="00283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Bender, W. N. (2007).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Differentiating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Instruction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for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Students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with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Learning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Disabilities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 Best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Teaching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Practices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for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General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and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Special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Educators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Thousand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Oaks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CA, USA: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Corwin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Press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</w:t>
            </w:r>
          </w:p>
          <w:p w:rsidR="00283326" w:rsidRDefault="00283326" w:rsidP="00283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283326" w:rsidRDefault="00283326" w:rsidP="00283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Bender, W. N. (2007). Learning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Disabilities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Characteristics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Identification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And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Teaching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Strategies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Boston, MA, USA: </w:t>
            </w:r>
            <w:proofErr w:type="spellStart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>Allyn</w:t>
            </w:r>
            <w:proofErr w:type="spellEnd"/>
            <w:r w:rsidRPr="002A550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&amp; Bacon</w:t>
            </w:r>
          </w:p>
          <w:p w:rsidR="00283326" w:rsidRDefault="00283326" w:rsidP="00283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B44C3" w:rsidRDefault="00B251F0" w:rsidP="00283326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Melekoğlu, M. A. ve Sak, U. (2017</w:t>
            </w:r>
            <w:r w:rsidR="002833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).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Öğrenme güçlüğü ve özel yetenek. </w:t>
            </w:r>
            <w:r w:rsidR="002833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Ankara: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Pegem</w:t>
            </w:r>
            <w:proofErr w:type="spellEnd"/>
            <w:r w:rsidR="0028332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Akademi</w:t>
            </w:r>
          </w:p>
          <w:p w:rsidR="00B251F0" w:rsidRDefault="00B251F0" w:rsidP="00B251F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Sak, U. (2011). Üstün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zekalılar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: Özellikleri, tanılanmaları, eğitimleri. Ankara: Maya Akademi</w:t>
            </w:r>
          </w:p>
          <w:p w:rsidR="00283326" w:rsidRPr="00EB44C3" w:rsidRDefault="00283326" w:rsidP="00283326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 notları</w:t>
            </w:r>
          </w:p>
        </w:tc>
      </w:tr>
    </w:tbl>
    <w:p w:rsidR="00EB44C3" w:rsidRPr="00EB44C3" w:rsidRDefault="00EB44C3" w:rsidP="00EB44C3"/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Kullanılan Ölçme Değerlendirme Yöntem ve Teknikleri</w:t>
            </w:r>
          </w:p>
        </w:tc>
      </w:tr>
      <w:tr w:rsidR="00EB44C3" w:rsidRPr="00EB44C3" w:rsidTr="00AA07AB">
        <w:trPr>
          <w:tblCellSpacing w:w="0" w:type="dxa"/>
        </w:trPr>
        <w:tc>
          <w:tcPr>
            <w:tcW w:w="10170" w:type="dxa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roofErr w:type="spellStart"/>
            <w:r w:rsidRPr="00EB44C3">
              <w:t>Arasınav</w:t>
            </w:r>
            <w:proofErr w:type="spellEnd"/>
            <w:r w:rsidR="001C0CD8">
              <w:t>, ödev</w:t>
            </w:r>
            <w:r w:rsidRPr="00EB44C3">
              <w:t xml:space="preserve"> ve final sınavı</w:t>
            </w:r>
          </w:p>
        </w:tc>
      </w:tr>
    </w:tbl>
    <w:p w:rsidR="00EB44C3" w:rsidRPr="00EB44C3" w:rsidRDefault="00EB44C3" w:rsidP="00EB44C3"/>
    <w:p w:rsidR="00EB44C3" w:rsidRPr="00EB44C3" w:rsidRDefault="00EB44C3" w:rsidP="00EB44C3">
      <w:r w:rsidRPr="00EB44C3">
        <w:lastRenderedPageBreak/>
        <w:t>AKTS / İŞ YÜKÜ TABLOSU</w:t>
      </w: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600"/>
        <w:gridCol w:w="1500"/>
        <w:gridCol w:w="1950"/>
      </w:tblGrid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Etkinlik</w:t>
            </w:r>
          </w:p>
        </w:tc>
        <w:tc>
          <w:tcPr>
            <w:tcW w:w="60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Sayısı</w:t>
            </w:r>
          </w:p>
        </w:tc>
        <w:tc>
          <w:tcPr>
            <w:tcW w:w="150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Süresi (Saat)</w:t>
            </w:r>
          </w:p>
        </w:tc>
        <w:tc>
          <w:tcPr>
            <w:tcW w:w="1950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Toplam İş Yükü (Saat)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Ders Süresi (hafta sayısı* haftalık toplam ders saati)x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82A18" w:rsidP="00EB44C3">
            <w:r>
              <w:t>2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F82A18" w:rsidP="00EB44C3">
            <w:r>
              <w:t>28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Sınıf Dışı Ders Çalışma Süresi (</w:t>
            </w:r>
            <w:proofErr w:type="spellStart"/>
            <w:r w:rsidRPr="00EB44C3">
              <w:t>Önçalışma</w:t>
            </w:r>
            <w:proofErr w:type="spellEnd"/>
            <w:r w:rsidRPr="00EB44C3">
              <w:t>, Pekiştirme)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14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roofErr w:type="spellStart"/>
            <w:r w:rsidRPr="00EB44C3">
              <w:t>Arasınavlar</w:t>
            </w:r>
            <w:proofErr w:type="spellEnd"/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roofErr w:type="spellStart"/>
            <w:r w:rsidRPr="00EB44C3">
              <w:t>Arasınavlar</w:t>
            </w:r>
            <w:proofErr w:type="spellEnd"/>
            <w:r w:rsidRPr="00EB44C3">
              <w:t xml:space="preserve"> Hazırlık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14</w:t>
            </w:r>
          </w:p>
        </w:tc>
      </w:tr>
      <w:tr w:rsidR="00F82A18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</w:tcPr>
          <w:p w:rsidR="00F82A18" w:rsidRPr="00EB44C3" w:rsidRDefault="00F82A18" w:rsidP="00EB44C3">
            <w:r>
              <w:t>Ödev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</w:tcPr>
          <w:p w:rsidR="00F82A18" w:rsidRPr="00EB44C3" w:rsidRDefault="00F82A18" w:rsidP="00EB44C3">
            <w:r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</w:tcPr>
          <w:p w:rsidR="00F82A18" w:rsidRPr="00EB44C3" w:rsidRDefault="00F82A18" w:rsidP="00EB44C3">
            <w:r>
              <w:t>14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</w:tcPr>
          <w:p w:rsidR="00F82A18" w:rsidRPr="00EB44C3" w:rsidRDefault="00F82A18" w:rsidP="00EB44C3">
            <w:r>
              <w:t>14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Final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Final Hazırlık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17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17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gridSpan w:val="3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Toplam İş Yükü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89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gridSpan w:val="3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Toplam İş Yükü / 30 (s)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2.97</w:t>
            </w:r>
          </w:p>
        </w:tc>
      </w:tr>
      <w:tr w:rsidR="00EB44C3" w:rsidRPr="00EB44C3" w:rsidTr="00EB44C3">
        <w:trPr>
          <w:tblCellSpacing w:w="0" w:type="dxa"/>
        </w:trPr>
        <w:tc>
          <w:tcPr>
            <w:tcW w:w="2715" w:type="dxa"/>
            <w:gridSpan w:val="3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pPr>
              <w:rPr>
                <w:b/>
                <w:bCs/>
              </w:rPr>
            </w:pPr>
            <w:r w:rsidRPr="00EB44C3">
              <w:rPr>
                <w:b/>
                <w:bCs/>
              </w:rPr>
              <w:t>Dersin AKTS Kredisi</w:t>
            </w:r>
          </w:p>
        </w:tc>
        <w:tc>
          <w:tcPr>
            <w:tcW w:w="0" w:type="auto"/>
            <w:tcBorders>
              <w:bottom w:val="single" w:sz="6" w:space="0" w:color="EEEEEE"/>
              <w:right w:val="single" w:sz="2" w:space="0" w:color="EEEEEE"/>
            </w:tcBorders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B44C3" w:rsidRPr="00EB44C3" w:rsidRDefault="00EB44C3" w:rsidP="00EB44C3">
            <w:r w:rsidRPr="00EB44C3">
              <w:t>3</w:t>
            </w:r>
          </w:p>
        </w:tc>
      </w:tr>
    </w:tbl>
    <w:p w:rsidR="00E25D7D" w:rsidRDefault="00E25D7D"/>
    <w:p w:rsidR="001464AE" w:rsidRDefault="001464AE"/>
    <w:sectPr w:rsidR="001464AE" w:rsidSect="00AC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C3"/>
    <w:rsid w:val="00035A6D"/>
    <w:rsid w:val="0004340D"/>
    <w:rsid w:val="001464AE"/>
    <w:rsid w:val="001C0CD8"/>
    <w:rsid w:val="00283326"/>
    <w:rsid w:val="00296F4C"/>
    <w:rsid w:val="002A5508"/>
    <w:rsid w:val="002E1DBE"/>
    <w:rsid w:val="003D6704"/>
    <w:rsid w:val="00431E03"/>
    <w:rsid w:val="00460948"/>
    <w:rsid w:val="0049141B"/>
    <w:rsid w:val="005F6693"/>
    <w:rsid w:val="006E449C"/>
    <w:rsid w:val="008C0711"/>
    <w:rsid w:val="00A23B95"/>
    <w:rsid w:val="00A367E3"/>
    <w:rsid w:val="00A71A16"/>
    <w:rsid w:val="00A84D52"/>
    <w:rsid w:val="00AA07AB"/>
    <w:rsid w:val="00AC1002"/>
    <w:rsid w:val="00B1337E"/>
    <w:rsid w:val="00B251F0"/>
    <w:rsid w:val="00BC2650"/>
    <w:rsid w:val="00C62CC3"/>
    <w:rsid w:val="00E25D7D"/>
    <w:rsid w:val="00E74A16"/>
    <w:rsid w:val="00EB44C3"/>
    <w:rsid w:val="00F82A18"/>
    <w:rsid w:val="00F83CA9"/>
    <w:rsid w:val="00F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A5B"/>
  <w15:docId w15:val="{654DA970-6F60-409F-85CE-CBC8F4DD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0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BC2650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 özgür yılmaz</dc:creator>
  <cp:lastModifiedBy>Cccc</cp:lastModifiedBy>
  <cp:revision>9</cp:revision>
  <dcterms:created xsi:type="dcterms:W3CDTF">2018-02-05T12:45:00Z</dcterms:created>
  <dcterms:modified xsi:type="dcterms:W3CDTF">2019-12-10T15:34:00Z</dcterms:modified>
</cp:coreProperties>
</file>