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AFD" w:rsidRPr="006A02E4" w:rsidRDefault="00F75FFF" w:rsidP="006A02E4">
      <w:pPr>
        <w:jc w:val="both"/>
        <w:rPr>
          <w:rFonts w:ascii="Times New Roman" w:hAnsi="Times New Roman" w:cs="Times New Roman"/>
          <w:sz w:val="28"/>
          <w:szCs w:val="28"/>
        </w:rPr>
      </w:pPr>
      <w:r w:rsidRPr="006A02E4">
        <w:rPr>
          <w:rFonts w:ascii="Times New Roman" w:hAnsi="Times New Roman" w:cs="Times New Roman"/>
          <w:sz w:val="28"/>
          <w:szCs w:val="28"/>
        </w:rPr>
        <w:t>Tespitler:</w:t>
      </w:r>
    </w:p>
    <w:p w:rsidR="00F75FFF" w:rsidRDefault="00F75FFF" w:rsidP="00F4547B">
      <w:pPr>
        <w:pStyle w:val="ListeParagraf"/>
        <w:numPr>
          <w:ilvl w:val="0"/>
          <w:numId w:val="1"/>
        </w:numPr>
        <w:spacing w:line="48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6A02E4">
        <w:rPr>
          <w:rFonts w:ascii="Times New Roman" w:hAnsi="Times New Roman" w:cs="Times New Roman"/>
          <w:sz w:val="32"/>
          <w:szCs w:val="32"/>
        </w:rPr>
        <w:t>Bilgi edinme hakkı bir temel haktır. Bunun bir nedeni şudur: öteki haklardan yararlanm</w:t>
      </w:r>
      <w:bookmarkStart w:id="0" w:name="_GoBack"/>
      <w:bookmarkEnd w:id="0"/>
      <w:r w:rsidRPr="006A02E4">
        <w:rPr>
          <w:rFonts w:ascii="Times New Roman" w:hAnsi="Times New Roman" w:cs="Times New Roman"/>
          <w:sz w:val="32"/>
          <w:szCs w:val="32"/>
        </w:rPr>
        <w:t>ak için bilgi edinme hakkının korunması gerekir.</w:t>
      </w:r>
      <w:r w:rsidR="006A02E4" w:rsidRPr="006A02E4">
        <w:rPr>
          <w:rFonts w:ascii="Times New Roman" w:hAnsi="Times New Roman" w:cs="Times New Roman"/>
          <w:sz w:val="32"/>
          <w:szCs w:val="32"/>
        </w:rPr>
        <w:t xml:space="preserve"> 4982 sayılı Kanunda da (m. 1) belirtildiği gibi demokratik ve şeffaf yönetimin de gereğidir.</w:t>
      </w:r>
    </w:p>
    <w:p w:rsidR="00372536" w:rsidRPr="006A02E4" w:rsidRDefault="00372536" w:rsidP="00F4547B">
      <w:pPr>
        <w:pStyle w:val="ListeParagraf"/>
        <w:numPr>
          <w:ilvl w:val="0"/>
          <w:numId w:val="1"/>
        </w:numPr>
        <w:spacing w:line="48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4982’ye göre (m. 4), herkes </w:t>
      </w:r>
      <w:proofErr w:type="spellStart"/>
      <w:r>
        <w:rPr>
          <w:rFonts w:ascii="Times New Roman" w:hAnsi="Times New Roman" w:cs="Times New Roman"/>
          <w:sz w:val="32"/>
          <w:szCs w:val="32"/>
        </w:rPr>
        <w:t>BEH’e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sahiptir. 2. Fıkraya göre TR’de ikamet eden yabancılar, TR’de faaliyet gösteren yabancı tüzel kişiler, kendileriyle ya da faaliyet alanlarıyla ilgili bilgi ve belgeleri karşılıklılık ilkesine göre talep edebilirler.</w:t>
      </w:r>
    </w:p>
    <w:p w:rsidR="00F75FFF" w:rsidRPr="006A02E4" w:rsidRDefault="00F75FFF" w:rsidP="00F4547B">
      <w:pPr>
        <w:pStyle w:val="ListeParagraf"/>
        <w:numPr>
          <w:ilvl w:val="0"/>
          <w:numId w:val="1"/>
        </w:numPr>
        <w:spacing w:line="48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6A02E4">
        <w:rPr>
          <w:rFonts w:ascii="Times New Roman" w:hAnsi="Times New Roman" w:cs="Times New Roman"/>
          <w:sz w:val="32"/>
          <w:szCs w:val="32"/>
        </w:rPr>
        <w:t>Hakkın özü, herkesin bilgiye sahip olma özgürlüğüdür.</w:t>
      </w:r>
    </w:p>
    <w:p w:rsidR="00F75FFF" w:rsidRDefault="00F75FFF" w:rsidP="00F4547B">
      <w:pPr>
        <w:pStyle w:val="ListeParagraf"/>
        <w:numPr>
          <w:ilvl w:val="0"/>
          <w:numId w:val="1"/>
        </w:numPr>
        <w:spacing w:line="48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6A02E4">
        <w:rPr>
          <w:rFonts w:ascii="Times New Roman" w:hAnsi="Times New Roman" w:cs="Times New Roman"/>
          <w:sz w:val="32"/>
          <w:szCs w:val="32"/>
        </w:rPr>
        <w:t>Bilgiye sahip olmaya ilişkin hak, özü itibariyle bir özgürlüktür.</w:t>
      </w:r>
    </w:p>
    <w:p w:rsidR="00372536" w:rsidRPr="006A02E4" w:rsidRDefault="00372536" w:rsidP="00F4547B">
      <w:pPr>
        <w:pStyle w:val="ListeParagraf"/>
        <w:numPr>
          <w:ilvl w:val="0"/>
          <w:numId w:val="1"/>
        </w:numPr>
        <w:spacing w:line="48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Devletin yükümlülüğü, “bilgi verme yükümlülüğüdür”. 4982 </w:t>
      </w:r>
      <w:proofErr w:type="spellStart"/>
      <w:r>
        <w:rPr>
          <w:rFonts w:ascii="Times New Roman" w:hAnsi="Times New Roman" w:cs="Times New Roman"/>
          <w:sz w:val="32"/>
          <w:szCs w:val="32"/>
        </w:rPr>
        <w:t>sK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m. 5 bunu düzenler. Kanunda belirtilen istisnalar dışında kurum ve kuruluşlar bunu sağlamak zorundadır.</w:t>
      </w:r>
    </w:p>
    <w:p w:rsidR="00F75FFF" w:rsidRPr="006A02E4" w:rsidRDefault="00F75FFF" w:rsidP="00F4547B">
      <w:pPr>
        <w:pStyle w:val="ListeParagraf"/>
        <w:numPr>
          <w:ilvl w:val="0"/>
          <w:numId w:val="1"/>
        </w:numPr>
        <w:spacing w:line="48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6A02E4">
        <w:rPr>
          <w:rFonts w:ascii="Times New Roman" w:hAnsi="Times New Roman" w:cs="Times New Roman"/>
          <w:sz w:val="32"/>
          <w:szCs w:val="32"/>
        </w:rPr>
        <w:t>BEH, özünde iki unsuru barındırır: Kişi güvenliği ve kişinin varlık koşullarını sürdürmesi. Fiziki güvenliğe sahip olan kişi diğer haklarını kullanabileceğini de bilir. Kişi maddi-manevi bütünlüğü yönünden korunma ve bu korunmanın sağlandığı bilgisine sahip olmalıdır. (Sonuçta bir toplumda ve devletli düzende yaşıyoruz.)</w:t>
      </w:r>
    </w:p>
    <w:p w:rsidR="00F75FFF" w:rsidRPr="006A02E4" w:rsidRDefault="00F75FFF" w:rsidP="00F4547B">
      <w:pPr>
        <w:pStyle w:val="ListeParagraf"/>
        <w:numPr>
          <w:ilvl w:val="0"/>
          <w:numId w:val="1"/>
        </w:numPr>
        <w:spacing w:line="48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6A02E4">
        <w:rPr>
          <w:rFonts w:ascii="Times New Roman" w:hAnsi="Times New Roman" w:cs="Times New Roman"/>
          <w:sz w:val="32"/>
          <w:szCs w:val="32"/>
        </w:rPr>
        <w:lastRenderedPageBreak/>
        <w:t xml:space="preserve">Kişi bilgi edinme hakkını doğrudan ya da bir başka hakkını kullanmaya aracı olması için kullanabilir. Bilgi edinme hakkı ile diğer haklar arasında </w:t>
      </w:r>
      <w:r w:rsidRPr="006A02E4">
        <w:rPr>
          <w:rFonts w:ascii="Times New Roman" w:hAnsi="Times New Roman" w:cs="Times New Roman"/>
          <w:b/>
          <w:sz w:val="32"/>
          <w:szCs w:val="32"/>
        </w:rPr>
        <w:t>“dikey bir ilişki</w:t>
      </w:r>
      <w:r w:rsidRPr="006A02E4">
        <w:rPr>
          <w:rFonts w:ascii="Times New Roman" w:hAnsi="Times New Roman" w:cs="Times New Roman"/>
          <w:sz w:val="32"/>
          <w:szCs w:val="32"/>
        </w:rPr>
        <w:t>” bu şekilde kurulmuş olur. Buna göre hak arama, düşünce, ifade, toplantı yapma gibi özgürlüklerini kullanabilir.</w:t>
      </w:r>
    </w:p>
    <w:p w:rsidR="00F75FFF" w:rsidRPr="006A02E4" w:rsidRDefault="00F75FFF" w:rsidP="00F4547B">
      <w:pPr>
        <w:pStyle w:val="ListeParagraf"/>
        <w:numPr>
          <w:ilvl w:val="0"/>
          <w:numId w:val="1"/>
        </w:numPr>
        <w:spacing w:line="48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6A02E4">
        <w:rPr>
          <w:rFonts w:ascii="Times New Roman" w:hAnsi="Times New Roman" w:cs="Times New Roman"/>
          <w:sz w:val="32"/>
          <w:szCs w:val="32"/>
        </w:rPr>
        <w:t>Ancak bilgiye sahip olma, dikey ilişki içinde olduğu hakların da kullanılabileceğini otomatik olarak sonuç vermez. O hakların da ayrıca güvence altında olması gerekir. Dolayısıyla diğer haklarla BEH arasındaki ilişki çok yönlü ve çok boyutludur.</w:t>
      </w:r>
    </w:p>
    <w:p w:rsidR="00F75FFF" w:rsidRPr="006A02E4" w:rsidRDefault="00F75FFF" w:rsidP="00F4547B">
      <w:pPr>
        <w:pStyle w:val="ListeParagraf"/>
        <w:numPr>
          <w:ilvl w:val="0"/>
          <w:numId w:val="1"/>
        </w:numPr>
        <w:spacing w:line="48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6A02E4">
        <w:rPr>
          <w:rFonts w:ascii="Times New Roman" w:hAnsi="Times New Roman" w:cs="Times New Roman"/>
          <w:sz w:val="32"/>
          <w:szCs w:val="32"/>
        </w:rPr>
        <w:t>BEH’in</w:t>
      </w:r>
      <w:proofErr w:type="spellEnd"/>
      <w:r w:rsidRPr="006A02E4">
        <w:rPr>
          <w:rFonts w:ascii="Times New Roman" w:hAnsi="Times New Roman" w:cs="Times New Roman"/>
          <w:sz w:val="32"/>
          <w:szCs w:val="32"/>
        </w:rPr>
        <w:t xml:space="preserve"> Anayasadaki yeri: Anayasada m. 74’te düzenlenmiştir. 2010 yılında yapılan değişiklik ile maddeye eklenmiştir.</w:t>
      </w:r>
    </w:p>
    <w:p w:rsidR="00F75FFF" w:rsidRPr="006A02E4" w:rsidRDefault="00F75FFF" w:rsidP="00F4547B">
      <w:pPr>
        <w:pStyle w:val="ListeParagraf"/>
        <w:numPr>
          <w:ilvl w:val="0"/>
          <w:numId w:val="1"/>
        </w:numPr>
        <w:spacing w:line="48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6A02E4">
        <w:rPr>
          <w:rFonts w:ascii="Times New Roman" w:hAnsi="Times New Roman" w:cs="Times New Roman"/>
          <w:sz w:val="32"/>
          <w:szCs w:val="32"/>
        </w:rPr>
        <w:t>Bizim anayasamıza göre SİYASAL HAKLAR arasında yer alır.</w:t>
      </w:r>
      <w:r w:rsidR="006A02E4" w:rsidRPr="006A02E4">
        <w:rPr>
          <w:rFonts w:ascii="Times New Roman" w:hAnsi="Times New Roman" w:cs="Times New Roman"/>
          <w:sz w:val="32"/>
          <w:szCs w:val="32"/>
        </w:rPr>
        <w:t xml:space="preserve"> Onunla ilişkili olarak, “KİŞİSEL VERİLERİN KORUNMASINI İSTEME HAKKI da anayasaya eklenmiştir.</w:t>
      </w:r>
    </w:p>
    <w:p w:rsidR="006A02E4" w:rsidRPr="006A02E4" w:rsidRDefault="006A02E4" w:rsidP="00F4547B">
      <w:pPr>
        <w:pStyle w:val="ListeParagraf"/>
        <w:numPr>
          <w:ilvl w:val="0"/>
          <w:numId w:val="1"/>
        </w:numPr>
        <w:spacing w:line="48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6A02E4">
        <w:rPr>
          <w:rFonts w:ascii="Times New Roman" w:hAnsi="Times New Roman" w:cs="Times New Roman"/>
          <w:sz w:val="32"/>
          <w:szCs w:val="32"/>
        </w:rPr>
        <w:t xml:space="preserve">Ancak BEH, anayasada düzenlenmeden önce bir yasa ile zaten tanınmıştı. Bu yasa, 2003 tarihli 4982 sayılı </w:t>
      </w:r>
      <w:proofErr w:type="gramStart"/>
      <w:r w:rsidRPr="006A02E4">
        <w:rPr>
          <w:rFonts w:ascii="Times New Roman" w:hAnsi="Times New Roman" w:cs="Times New Roman"/>
          <w:sz w:val="32"/>
          <w:szCs w:val="32"/>
        </w:rPr>
        <w:t>Kanundur</w:t>
      </w:r>
      <w:proofErr w:type="gramEnd"/>
      <w:r w:rsidRPr="006A02E4">
        <w:rPr>
          <w:rFonts w:ascii="Times New Roman" w:hAnsi="Times New Roman" w:cs="Times New Roman"/>
          <w:sz w:val="32"/>
          <w:szCs w:val="32"/>
        </w:rPr>
        <w:t>. BİLGİ EDİNME HAKKI KANUNU…</w:t>
      </w:r>
    </w:p>
    <w:p w:rsidR="006A02E4" w:rsidRDefault="006A02E4" w:rsidP="00F4547B">
      <w:pPr>
        <w:pStyle w:val="ListeParagraf"/>
        <w:numPr>
          <w:ilvl w:val="0"/>
          <w:numId w:val="1"/>
        </w:numPr>
        <w:spacing w:line="48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6A02E4">
        <w:rPr>
          <w:rFonts w:ascii="Times New Roman" w:hAnsi="Times New Roman" w:cs="Times New Roman"/>
          <w:sz w:val="32"/>
          <w:szCs w:val="32"/>
        </w:rPr>
        <w:t xml:space="preserve">4982 sayılı Kanunda tanınan hak aslında KAYITLI VERİ ve BELGE EDİNME HAKKI olarak düzenlenmiştir denilebilir. Yasal </w:t>
      </w:r>
      <w:r w:rsidRPr="006A02E4">
        <w:rPr>
          <w:rFonts w:ascii="Times New Roman" w:hAnsi="Times New Roman" w:cs="Times New Roman"/>
          <w:sz w:val="32"/>
          <w:szCs w:val="32"/>
        </w:rPr>
        <w:lastRenderedPageBreak/>
        <w:t>yönüyle İDARENİN ELİNDEKİ BELGELERE SAHİP OLMA HAKKI olarak somutlaşmaktadır. Tabi ki istisnalarıyla…</w:t>
      </w:r>
      <w:r w:rsidR="00372536">
        <w:rPr>
          <w:rFonts w:ascii="Times New Roman" w:hAnsi="Times New Roman" w:cs="Times New Roman"/>
          <w:sz w:val="32"/>
          <w:szCs w:val="32"/>
        </w:rPr>
        <w:t xml:space="preserve"> </w:t>
      </w:r>
      <w:r w:rsidR="00372536" w:rsidRPr="00372536">
        <w:rPr>
          <w:rFonts w:ascii="Times New Roman" w:hAnsi="Times New Roman" w:cs="Times New Roman"/>
          <w:b/>
          <w:sz w:val="32"/>
          <w:szCs w:val="32"/>
        </w:rPr>
        <w:t>Bilgi</w:t>
      </w:r>
      <w:r w:rsidR="00372536">
        <w:rPr>
          <w:rFonts w:ascii="Times New Roman" w:hAnsi="Times New Roman" w:cs="Times New Roman"/>
          <w:sz w:val="32"/>
          <w:szCs w:val="32"/>
        </w:rPr>
        <w:t xml:space="preserve"> ve </w:t>
      </w:r>
      <w:r w:rsidR="00372536" w:rsidRPr="00372536">
        <w:rPr>
          <w:rFonts w:ascii="Times New Roman" w:hAnsi="Times New Roman" w:cs="Times New Roman"/>
          <w:b/>
          <w:sz w:val="32"/>
          <w:szCs w:val="32"/>
        </w:rPr>
        <w:t>belge</w:t>
      </w:r>
      <w:r w:rsidR="00372536">
        <w:rPr>
          <w:rFonts w:ascii="Times New Roman" w:hAnsi="Times New Roman" w:cs="Times New Roman"/>
          <w:sz w:val="32"/>
          <w:szCs w:val="32"/>
        </w:rPr>
        <w:t xml:space="preserve"> kavramları kanunun </w:t>
      </w:r>
      <w:r w:rsidR="00372536" w:rsidRPr="00372536">
        <w:rPr>
          <w:rFonts w:ascii="Times New Roman" w:hAnsi="Times New Roman" w:cs="Times New Roman"/>
          <w:b/>
          <w:sz w:val="32"/>
          <w:szCs w:val="32"/>
        </w:rPr>
        <w:t>3. maddesinde</w:t>
      </w:r>
      <w:r w:rsidR="00372536">
        <w:rPr>
          <w:rFonts w:ascii="Times New Roman" w:hAnsi="Times New Roman" w:cs="Times New Roman"/>
          <w:sz w:val="32"/>
          <w:szCs w:val="32"/>
        </w:rPr>
        <w:t xml:space="preserve"> tanımlanmaktadır.</w:t>
      </w:r>
    </w:p>
    <w:p w:rsidR="00372536" w:rsidRDefault="00372536" w:rsidP="00F4547B">
      <w:pPr>
        <w:pStyle w:val="ListeParagraf"/>
        <w:numPr>
          <w:ilvl w:val="0"/>
          <w:numId w:val="1"/>
        </w:numPr>
        <w:spacing w:line="48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Kanuna göre her türlü kurum ve kuruluşun elinde olan değil, kamu kurum ve kuruluşları ile kamu kurumu niteliğindeki meslek kuruluşları karşısında BEH kullanılabilir.</w:t>
      </w:r>
    </w:p>
    <w:p w:rsidR="00372536" w:rsidRDefault="00372536" w:rsidP="00F4547B">
      <w:pPr>
        <w:pStyle w:val="ListeParagraf"/>
        <w:numPr>
          <w:ilvl w:val="0"/>
          <w:numId w:val="1"/>
        </w:numPr>
        <w:spacing w:line="48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BEH’in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kullanımına ilişkin ayrıntılar Kanunda düzenlenmiştir. Bir de Yönetmelik vardır.</w:t>
      </w:r>
    </w:p>
    <w:p w:rsidR="00372536" w:rsidRPr="006A02E4" w:rsidRDefault="00372536" w:rsidP="00F4547B">
      <w:pPr>
        <w:pStyle w:val="ListeParagraf"/>
        <w:numPr>
          <w:ilvl w:val="0"/>
          <w:numId w:val="1"/>
        </w:numPr>
        <w:spacing w:line="48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BEDK: Kanuna göre </w:t>
      </w:r>
      <w:proofErr w:type="spellStart"/>
      <w:r>
        <w:rPr>
          <w:rFonts w:ascii="Times New Roman" w:hAnsi="Times New Roman" w:cs="Times New Roman"/>
          <w:sz w:val="32"/>
          <w:szCs w:val="32"/>
        </w:rPr>
        <w:t>BEH’e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ilişkin </w:t>
      </w:r>
      <w:proofErr w:type="gramStart"/>
      <w:r>
        <w:rPr>
          <w:rFonts w:ascii="Times New Roman" w:hAnsi="Times New Roman" w:cs="Times New Roman"/>
          <w:sz w:val="32"/>
          <w:szCs w:val="32"/>
        </w:rPr>
        <w:t>şikayetlerle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ilgili karar mercii. Tamamı CB tarafından seçilen (m. 14) 9 üyeden oluşur.</w:t>
      </w:r>
    </w:p>
    <w:sectPr w:rsidR="00372536" w:rsidRPr="006A0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7F09"/>
    <w:multiLevelType w:val="hybridMultilevel"/>
    <w:tmpl w:val="B34A8A4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FFF"/>
    <w:rsid w:val="00372536"/>
    <w:rsid w:val="006A02E4"/>
    <w:rsid w:val="00B40FD8"/>
    <w:rsid w:val="00C44171"/>
    <w:rsid w:val="00E97AFD"/>
    <w:rsid w:val="00F4547B"/>
    <w:rsid w:val="00F7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2C057-0376-44A6-97A4-A24FA021B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75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Bülent Algan</dc:creator>
  <cp:keywords/>
  <dc:description/>
  <cp:lastModifiedBy>Bülent Algan</cp:lastModifiedBy>
  <cp:revision>2</cp:revision>
  <dcterms:created xsi:type="dcterms:W3CDTF">2020-01-09T12:48:00Z</dcterms:created>
  <dcterms:modified xsi:type="dcterms:W3CDTF">2020-01-09T12:48:00Z</dcterms:modified>
</cp:coreProperties>
</file>