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EC" w:rsidRPr="009445EC" w:rsidRDefault="009445EC" w:rsidP="009445EC">
      <w:pPr>
        <w:tabs>
          <w:tab w:val="center" w:pos="4819"/>
        </w:tabs>
        <w:spacing w:before="120"/>
        <w:ind w:firstLine="567"/>
        <w:jc w:val="center"/>
        <w:rPr>
          <w:rFonts w:eastAsia="Times New Roman"/>
          <w:b/>
          <w:sz w:val="28"/>
          <w:szCs w:val="28"/>
          <w:lang w:eastAsia="tr-TR"/>
        </w:rPr>
      </w:pPr>
      <w:r w:rsidRPr="009445EC">
        <w:rPr>
          <w:rFonts w:eastAsia="Times New Roman"/>
          <w:b/>
          <w:sz w:val="36"/>
          <w:szCs w:val="36"/>
          <w:lang w:eastAsia="tr-TR"/>
        </w:rPr>
        <w:t>YÜZYILIN DİVAN ŞAİRLERİ</w:t>
      </w:r>
    </w:p>
    <w:p w:rsidR="009445EC" w:rsidRPr="009445EC" w:rsidRDefault="009445EC" w:rsidP="009445EC">
      <w:pPr>
        <w:ind w:firstLine="567"/>
        <w:jc w:val="left"/>
        <w:rPr>
          <w:rFonts w:eastAsia="Times New Roman"/>
          <w:b/>
          <w:bCs/>
          <w:color w:val="000000"/>
          <w:sz w:val="28"/>
          <w:szCs w:val="28"/>
          <w:lang w:eastAsia="tr-TR"/>
        </w:rPr>
      </w:pPr>
      <w:r w:rsidRPr="009445EC">
        <w:rPr>
          <w:rFonts w:eastAsia="Times New Roman"/>
          <w:b/>
          <w:bCs/>
          <w:color w:val="000000"/>
          <w:sz w:val="32"/>
          <w:szCs w:val="32"/>
          <w:lang w:eastAsia="tr-TR"/>
        </w:rPr>
        <w:t>LAMİ’İ ÇELEBİ (d. 1473-ö.1532)</w:t>
      </w:r>
    </w:p>
    <w:p w:rsidR="009445EC" w:rsidRPr="009445EC" w:rsidRDefault="009445EC" w:rsidP="009445EC">
      <w:pPr>
        <w:ind w:firstLine="567"/>
        <w:rPr>
          <w:rFonts w:eastAsia="Times New Roman"/>
          <w:bCs/>
          <w:color w:val="000000"/>
          <w:sz w:val="28"/>
          <w:szCs w:val="28"/>
          <w:lang w:eastAsia="tr-TR"/>
        </w:rPr>
      </w:pPr>
      <w:r w:rsidRPr="009445EC">
        <w:rPr>
          <w:rFonts w:eastAsia="Times New Roman"/>
          <w:bCs/>
          <w:color w:val="000000"/>
          <w:sz w:val="28"/>
          <w:szCs w:val="28"/>
          <w:lang w:eastAsia="tr-TR"/>
        </w:rPr>
        <w:t xml:space="preserve">Bursa’da doğmuştur. Âlim ve mutasavvıf bir şairdir. İyi bir medrese eğitimi görmüştür. Nakşıbendî tarikatına mensuptur (Etkisinde kaldığı Nevai ve Molla Cami gibi). Bursa’nın zengin tasavvuf ve kültür ortamında tasavvuf ile edebiyatı buluşturan bir şeyh olarak yaşamıştır. Daha çok nesir tarzındaki eserleriyle tanınmış, asrının en velud şair ve yazarıdır. Manzum ve mensur 30’a yakın eserin müellifi veya mütercimidir. </w:t>
      </w:r>
      <w:r w:rsidRPr="009445EC">
        <w:rPr>
          <w:rFonts w:eastAsia="Times New Roman"/>
          <w:b/>
          <w:color w:val="000000"/>
          <w:sz w:val="28"/>
          <w:szCs w:val="28"/>
          <w:lang w:eastAsia="tr-TR"/>
        </w:rPr>
        <w:t>Edebiyata kazandırdığı değerli eserler dolayısıyla Cami-i Rum denmiştir</w:t>
      </w:r>
      <w:r w:rsidRPr="009445EC">
        <w:rPr>
          <w:rFonts w:eastAsia="Times New Roman"/>
          <w:bCs/>
          <w:color w:val="000000"/>
          <w:sz w:val="28"/>
          <w:szCs w:val="28"/>
          <w:lang w:eastAsia="tr-TR"/>
        </w:rPr>
        <w:t xml:space="preserve">. </w:t>
      </w:r>
      <w:r w:rsidRPr="009445EC">
        <w:rPr>
          <w:rFonts w:eastAsia="Times New Roman"/>
          <w:b/>
          <w:color w:val="000000"/>
          <w:sz w:val="28"/>
          <w:szCs w:val="28"/>
          <w:lang w:eastAsia="tr-TR"/>
        </w:rPr>
        <w:t>Onun bu adla anılışında Molla Cami’nin önemli eserlerini Türkçeye çevirmiş olmasının etkisi büyüktür</w:t>
      </w:r>
      <w:r w:rsidRPr="009445EC">
        <w:rPr>
          <w:rFonts w:eastAsia="Times New Roman"/>
          <w:bCs/>
          <w:color w:val="000000"/>
          <w:sz w:val="28"/>
          <w:szCs w:val="28"/>
          <w:lang w:eastAsia="tr-TR"/>
        </w:rPr>
        <w:t xml:space="preserve">. </w:t>
      </w:r>
      <w:r w:rsidRPr="009445EC">
        <w:rPr>
          <w:rFonts w:eastAsia="Times New Roman"/>
          <w:b/>
          <w:color w:val="000000"/>
          <w:sz w:val="28"/>
          <w:szCs w:val="28"/>
          <w:lang w:eastAsia="tr-TR"/>
        </w:rPr>
        <w:t>Cami’nin önemli eserlerini tercüme etmeyi seçmesinde ise Cami’nin de Nakşî olması etkili olmuştur</w:t>
      </w:r>
      <w:r w:rsidRPr="009445EC">
        <w:rPr>
          <w:rFonts w:eastAsia="Times New Roman"/>
          <w:bCs/>
          <w:color w:val="000000"/>
          <w:sz w:val="28"/>
          <w:szCs w:val="28"/>
          <w:lang w:eastAsia="tr-TR"/>
        </w:rPr>
        <w:t xml:space="preserve">. İran edebiyatından çevirdiği mesnevilerin sayısı hamse kapsamını aşmış, iki hamse tutarında mesnevi yazmıştır. </w:t>
      </w:r>
      <w:r w:rsidRPr="009445EC">
        <w:rPr>
          <w:rFonts w:eastAsia="Times New Roman"/>
          <w:b/>
          <w:color w:val="000000"/>
          <w:sz w:val="28"/>
          <w:szCs w:val="28"/>
          <w:lang w:eastAsia="tr-TR"/>
        </w:rPr>
        <w:t>Şair kendisi hamse tertip etmemiş fakat edebiyat tarihi kaynaklarında hamse sahibi şairlerden sayılmıştır.</w:t>
      </w:r>
      <w:r w:rsidRPr="009445EC">
        <w:rPr>
          <w:rFonts w:eastAsia="Times New Roman"/>
          <w:bCs/>
          <w:color w:val="000000"/>
          <w:sz w:val="28"/>
          <w:szCs w:val="28"/>
          <w:lang w:eastAsia="tr-TR"/>
        </w:rPr>
        <w:t xml:space="preserve"> </w:t>
      </w:r>
      <w:r w:rsidRPr="009445EC">
        <w:rPr>
          <w:rFonts w:eastAsia="Times New Roman"/>
          <w:b/>
          <w:color w:val="000000"/>
          <w:sz w:val="28"/>
          <w:szCs w:val="28"/>
          <w:lang w:eastAsia="tr-TR"/>
        </w:rPr>
        <w:t>Türk edebiyatında az işlenmiş mesnevi konularını tercih etmiştir</w:t>
      </w:r>
      <w:r w:rsidRPr="009445EC">
        <w:rPr>
          <w:rFonts w:eastAsia="Times New Roman"/>
          <w:bCs/>
          <w:color w:val="000000"/>
          <w:sz w:val="28"/>
          <w:szCs w:val="28"/>
          <w:lang w:eastAsia="tr-TR"/>
        </w:rPr>
        <w:t>. Bu mesnevilerin konularını genişletmiş, eklemelerde bulunmuştur. Divanı da vardır.</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Lamii hazırcevap kişiliği dolayısıyla zaman zaman hezliyata (gülmece-mizah) eğilim gösterdiği bilinmektedir.</w:t>
      </w:r>
    </w:p>
    <w:p w:rsidR="009445EC" w:rsidRDefault="009445EC" w:rsidP="009445EC">
      <w:pPr>
        <w:ind w:firstLine="709"/>
        <w:rPr>
          <w:rFonts w:eastAsia="Times New Roman"/>
          <w:b/>
          <w:bCs/>
          <w:color w:val="000000"/>
          <w:sz w:val="28"/>
          <w:szCs w:val="28"/>
          <w:u w:val="single"/>
          <w:lang w:eastAsia="tr-TR"/>
        </w:rPr>
      </w:pPr>
    </w:p>
    <w:p w:rsidR="009445EC" w:rsidRPr="009445EC" w:rsidRDefault="009445EC" w:rsidP="009445EC">
      <w:pPr>
        <w:ind w:firstLine="709"/>
        <w:rPr>
          <w:rFonts w:eastAsia="Times New Roman"/>
          <w:b/>
          <w:bCs/>
          <w:color w:val="000000"/>
          <w:sz w:val="28"/>
          <w:szCs w:val="28"/>
          <w:u w:val="single"/>
          <w:lang w:eastAsia="tr-TR"/>
        </w:rPr>
      </w:pPr>
      <w:r w:rsidRPr="009445EC">
        <w:rPr>
          <w:rFonts w:eastAsia="Times New Roman"/>
          <w:b/>
          <w:bCs/>
          <w:color w:val="000000"/>
          <w:sz w:val="28"/>
          <w:szCs w:val="28"/>
          <w:u w:val="single"/>
          <w:lang w:eastAsia="tr-TR"/>
        </w:rPr>
        <w:lastRenderedPageBreak/>
        <w:t>MANZUM ESERLERİ</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1. DİVAN-I EŞ’ÂR</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Lamii’nin </w:t>
      </w:r>
      <w:r w:rsidRPr="009445EC">
        <w:rPr>
          <w:rFonts w:eastAsia="Times New Roman"/>
          <w:bCs/>
          <w:i/>
          <w:color w:val="000000"/>
          <w:sz w:val="28"/>
          <w:szCs w:val="28"/>
          <w:lang w:eastAsia="tr-TR"/>
        </w:rPr>
        <w:t>Bursa Şehr-engizi</w:t>
      </w:r>
      <w:r w:rsidRPr="009445EC">
        <w:rPr>
          <w:rFonts w:eastAsia="Times New Roman"/>
          <w:bCs/>
          <w:color w:val="000000"/>
          <w:sz w:val="28"/>
          <w:szCs w:val="28"/>
          <w:lang w:eastAsia="tr-TR"/>
        </w:rPr>
        <w:t xml:space="preserve"> ile </w:t>
      </w:r>
      <w:r w:rsidRPr="009445EC">
        <w:rPr>
          <w:rFonts w:eastAsia="Times New Roman"/>
          <w:bCs/>
          <w:i/>
          <w:color w:val="000000"/>
          <w:sz w:val="28"/>
          <w:szCs w:val="28"/>
          <w:lang w:eastAsia="tr-TR"/>
        </w:rPr>
        <w:t>Hayret-nâme</w:t>
      </w:r>
      <w:r w:rsidRPr="009445EC">
        <w:rPr>
          <w:rFonts w:eastAsia="Times New Roman"/>
          <w:bCs/>
          <w:color w:val="000000"/>
          <w:sz w:val="28"/>
          <w:szCs w:val="28"/>
          <w:lang w:eastAsia="tr-TR"/>
        </w:rPr>
        <w:t xml:space="preserve"> adlı eserlerinin de yer aldığı Divanı, bazı tasavvufi terimlerin açıklandığı bir dibace ile beş defterden oluşmaktadır.</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Hamit Bilen Burmaoğlu, </w:t>
      </w:r>
      <w:r w:rsidRPr="009445EC">
        <w:rPr>
          <w:rFonts w:eastAsia="Times New Roman"/>
          <w:b/>
          <w:bCs/>
          <w:i/>
          <w:color w:val="000000"/>
          <w:sz w:val="28"/>
          <w:szCs w:val="28"/>
          <w:lang w:eastAsia="tr-TR"/>
        </w:rPr>
        <w:t>Lamii Çelebi: Hayatı, Edebi Kişiliği, Eserleri ve Divanının Tenkitli Metni</w:t>
      </w:r>
      <w:r w:rsidRPr="009445EC">
        <w:rPr>
          <w:rFonts w:eastAsia="Times New Roman"/>
          <w:bCs/>
          <w:color w:val="000000"/>
          <w:sz w:val="28"/>
          <w:szCs w:val="28"/>
          <w:lang w:eastAsia="tr-TR"/>
        </w:rPr>
        <w:t>, Doktora Tezi, Atatürk Üniv., Erzurum, 1983.</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Hamit Bilen Burmaoğlu, </w:t>
      </w:r>
      <w:r w:rsidRPr="009445EC">
        <w:rPr>
          <w:rFonts w:eastAsia="Times New Roman"/>
          <w:b/>
          <w:bCs/>
          <w:i/>
          <w:color w:val="000000"/>
          <w:sz w:val="28"/>
          <w:szCs w:val="28"/>
          <w:lang w:eastAsia="tr-TR"/>
        </w:rPr>
        <w:t>Bursalı Lamii Çelebi Divanından Seçmeler</w:t>
      </w:r>
      <w:r w:rsidRPr="009445EC">
        <w:rPr>
          <w:rFonts w:eastAsia="Times New Roman"/>
          <w:bCs/>
          <w:color w:val="000000"/>
          <w:sz w:val="28"/>
          <w:szCs w:val="28"/>
          <w:lang w:eastAsia="tr-TR"/>
        </w:rPr>
        <w:t>, Kültür Bak.Yay., Ankara, 1989.</w:t>
      </w:r>
    </w:p>
    <w:p w:rsidR="009445EC" w:rsidRPr="009445EC" w:rsidRDefault="009445EC" w:rsidP="009445EC">
      <w:pPr>
        <w:spacing w:before="120"/>
        <w:ind w:firstLine="709"/>
        <w:rPr>
          <w:rFonts w:eastAsia="Times New Roman"/>
          <w:bCs/>
          <w:color w:val="000000"/>
          <w:sz w:val="28"/>
          <w:szCs w:val="28"/>
          <w:lang w:eastAsia="tr-TR"/>
        </w:rPr>
      </w:pPr>
      <w:r w:rsidRPr="009445EC">
        <w:rPr>
          <w:rFonts w:eastAsia="Times New Roman"/>
          <w:b/>
          <w:bCs/>
          <w:color w:val="000000"/>
          <w:sz w:val="28"/>
          <w:szCs w:val="28"/>
          <w:lang w:eastAsia="tr-TR"/>
        </w:rPr>
        <w:t>2. VAMIK U AZRA</w:t>
      </w:r>
      <w:r w:rsidRPr="009445EC">
        <w:rPr>
          <w:rFonts w:eastAsia="Times New Roman"/>
          <w:bCs/>
          <w:color w:val="000000"/>
          <w:sz w:val="28"/>
          <w:szCs w:val="28"/>
          <w:lang w:eastAsia="tr-TR"/>
        </w:rPr>
        <w:t xml:space="preserve"> (Unsuri’den çeviri)</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
          <w:bCs/>
          <w:color w:val="000000"/>
          <w:sz w:val="28"/>
          <w:szCs w:val="28"/>
          <w:lang w:eastAsia="tr-TR"/>
        </w:rPr>
        <w:t>Gönül Ayan</w:t>
      </w:r>
      <w:r w:rsidRPr="009445EC">
        <w:rPr>
          <w:rFonts w:eastAsia="Times New Roman"/>
          <w:bCs/>
          <w:color w:val="000000"/>
          <w:sz w:val="28"/>
          <w:szCs w:val="28"/>
          <w:lang w:eastAsia="tr-TR"/>
        </w:rPr>
        <w:t xml:space="preserve">, </w:t>
      </w:r>
      <w:r w:rsidRPr="009445EC">
        <w:rPr>
          <w:rFonts w:eastAsia="Times New Roman"/>
          <w:bCs/>
          <w:i/>
          <w:color w:val="000000"/>
          <w:sz w:val="28"/>
          <w:szCs w:val="28"/>
          <w:lang w:eastAsia="tr-TR"/>
        </w:rPr>
        <w:t>Lami’i-Vamık u Azra (İnceleme-Metin)</w:t>
      </w:r>
      <w:r w:rsidRPr="009445EC">
        <w:rPr>
          <w:rFonts w:eastAsia="Times New Roman"/>
          <w:bCs/>
          <w:color w:val="000000"/>
          <w:sz w:val="28"/>
          <w:szCs w:val="28"/>
          <w:lang w:eastAsia="tr-TR"/>
        </w:rPr>
        <w:t>, AKM. Yay., Ankara, 1998.</w:t>
      </w:r>
    </w:p>
    <w:p w:rsidR="009445EC" w:rsidRPr="009445EC" w:rsidRDefault="009445EC" w:rsidP="009445EC">
      <w:pPr>
        <w:spacing w:before="120"/>
        <w:ind w:firstLine="709"/>
        <w:rPr>
          <w:rFonts w:eastAsia="Times New Roman"/>
          <w:bCs/>
          <w:color w:val="000000"/>
          <w:sz w:val="28"/>
          <w:szCs w:val="28"/>
          <w:lang w:eastAsia="tr-TR"/>
        </w:rPr>
      </w:pPr>
      <w:r w:rsidRPr="009445EC">
        <w:rPr>
          <w:rFonts w:eastAsia="Times New Roman"/>
          <w:b/>
          <w:bCs/>
          <w:color w:val="000000"/>
          <w:sz w:val="28"/>
          <w:szCs w:val="28"/>
          <w:lang w:eastAsia="tr-TR"/>
        </w:rPr>
        <w:t>3. ŞEM Ü PERVANE</w:t>
      </w:r>
      <w:r w:rsidRPr="009445EC">
        <w:rPr>
          <w:rFonts w:eastAsia="Times New Roman"/>
          <w:bCs/>
          <w:color w:val="000000"/>
          <w:sz w:val="28"/>
          <w:szCs w:val="28"/>
          <w:lang w:eastAsia="tr-TR"/>
        </w:rPr>
        <w:t xml:space="preserve"> (Ehli-i Şirazi’den)</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
          <w:bCs/>
          <w:color w:val="000000"/>
          <w:sz w:val="28"/>
          <w:szCs w:val="28"/>
          <w:lang w:eastAsia="tr-TR"/>
        </w:rPr>
        <w:t xml:space="preserve">4. GÛY U ÇEVGÂN </w:t>
      </w:r>
      <w:r w:rsidRPr="009445EC">
        <w:rPr>
          <w:rFonts w:eastAsia="Times New Roman"/>
          <w:bCs/>
          <w:color w:val="000000"/>
          <w:sz w:val="28"/>
          <w:szCs w:val="28"/>
          <w:lang w:eastAsia="tr-TR"/>
        </w:rPr>
        <w:t>(Ârifî’den çeviri)</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
          <w:bCs/>
          <w:color w:val="000000"/>
          <w:sz w:val="28"/>
          <w:szCs w:val="28"/>
          <w:lang w:eastAsia="tr-TR"/>
        </w:rPr>
        <w:t>Nuran Tezcan</w:t>
      </w:r>
      <w:r w:rsidRPr="009445EC">
        <w:rPr>
          <w:rFonts w:eastAsia="Times New Roman"/>
          <w:bCs/>
          <w:color w:val="000000"/>
          <w:sz w:val="28"/>
          <w:szCs w:val="28"/>
          <w:lang w:eastAsia="tr-TR"/>
        </w:rPr>
        <w:t xml:space="preserve">, </w:t>
      </w:r>
      <w:r w:rsidRPr="009445EC">
        <w:rPr>
          <w:rFonts w:eastAsia="Times New Roman"/>
          <w:bCs/>
          <w:i/>
          <w:color w:val="000000"/>
          <w:sz w:val="28"/>
          <w:szCs w:val="28"/>
          <w:lang w:eastAsia="tr-TR"/>
        </w:rPr>
        <w:t>Lâmi’î’s Güy u Çeugân</w:t>
      </w:r>
      <w:r w:rsidRPr="009445EC">
        <w:rPr>
          <w:rFonts w:eastAsia="Times New Roman"/>
          <w:bCs/>
          <w:color w:val="000000"/>
          <w:sz w:val="28"/>
          <w:szCs w:val="28"/>
          <w:lang w:eastAsia="tr-TR"/>
        </w:rPr>
        <w:t>, Stuttgart, 1994.</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
          <w:bCs/>
          <w:color w:val="000000"/>
          <w:sz w:val="28"/>
          <w:szCs w:val="28"/>
          <w:lang w:eastAsia="tr-TR"/>
        </w:rPr>
        <w:lastRenderedPageBreak/>
        <w:t xml:space="preserve">5. HEFT-PEYKER </w:t>
      </w:r>
      <w:r w:rsidRPr="009445EC">
        <w:rPr>
          <w:rFonts w:eastAsia="Times New Roman"/>
          <w:bCs/>
          <w:color w:val="000000"/>
          <w:sz w:val="28"/>
          <w:szCs w:val="28"/>
          <w:lang w:eastAsia="tr-TR"/>
        </w:rPr>
        <w:t>(Nizamî’den çeviri)</w:t>
      </w:r>
      <w:r w:rsidRPr="009445EC">
        <w:rPr>
          <w:rFonts w:eastAsia="Times New Roman"/>
          <w:bCs/>
          <w:color w:val="000000"/>
          <w:sz w:val="28"/>
          <w:szCs w:val="28"/>
          <w:vertAlign w:val="superscript"/>
          <w:lang w:eastAsia="tr-TR"/>
        </w:rPr>
        <w:footnoteReference w:id="1"/>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 xml:space="preserve">6. FERHAD U ŞİRİN (FERHAD-NAME) </w:t>
      </w:r>
      <w:r w:rsidRPr="009445EC">
        <w:rPr>
          <w:rFonts w:eastAsia="Times New Roman"/>
          <w:bCs/>
          <w:color w:val="000000"/>
          <w:sz w:val="28"/>
          <w:szCs w:val="28"/>
          <w:lang w:eastAsia="tr-TR"/>
        </w:rPr>
        <w:t>(A.Şir Nevai’den uyarlamadır.)</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
          <w:bCs/>
          <w:color w:val="000000"/>
          <w:sz w:val="28"/>
          <w:szCs w:val="28"/>
          <w:lang w:eastAsia="tr-TR"/>
        </w:rPr>
        <w:t xml:space="preserve">7. VÎS Ü RÂMİN </w:t>
      </w:r>
      <w:r w:rsidRPr="009445EC">
        <w:rPr>
          <w:rFonts w:eastAsia="Times New Roman"/>
          <w:bCs/>
          <w:color w:val="000000"/>
          <w:sz w:val="28"/>
          <w:szCs w:val="28"/>
          <w:lang w:eastAsia="tr-TR"/>
        </w:rPr>
        <w:t>(Fahreddin Cürcani’den çeviri)</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 xml:space="preserve">8. SALAMÂN U ABSÂL </w:t>
      </w:r>
      <w:r w:rsidRPr="009445EC">
        <w:rPr>
          <w:rFonts w:eastAsia="Times New Roman"/>
          <w:bCs/>
          <w:color w:val="000000"/>
          <w:sz w:val="28"/>
          <w:szCs w:val="28"/>
          <w:lang w:eastAsia="tr-TR"/>
        </w:rPr>
        <w:t>(Molla Cami’den çeviri)</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9. BURSA ŞEHR-ENGİZİ</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Kanuni’nin Bursa’yı ziyareti münasebetiyle yazmıştır. Lamii bu eserinde gelenekten farklı olarak Bursa şehrinin güzellerini değil, güzelliklerini anlatmıştır.</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10. MAKTEL-İ HÜSEYN</w:t>
      </w:r>
    </w:p>
    <w:p w:rsidR="009445EC" w:rsidRPr="009445EC" w:rsidRDefault="009445EC" w:rsidP="009445EC">
      <w:pPr>
        <w:ind w:firstLine="709"/>
        <w:rPr>
          <w:rFonts w:eastAsia="Times New Roman"/>
          <w:b/>
          <w:bCs/>
          <w:color w:val="000000"/>
          <w:sz w:val="28"/>
          <w:szCs w:val="28"/>
          <w:u w:val="single"/>
          <w:lang w:eastAsia="tr-TR"/>
        </w:rPr>
      </w:pPr>
      <w:r w:rsidRPr="009445EC">
        <w:rPr>
          <w:rFonts w:eastAsia="Times New Roman"/>
          <w:b/>
          <w:bCs/>
          <w:color w:val="000000"/>
          <w:sz w:val="28"/>
          <w:szCs w:val="28"/>
          <w:u w:val="single"/>
          <w:lang w:eastAsia="tr-TR"/>
        </w:rPr>
        <w:t>MENSUR ESERLERİ</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1. ŞEVÂHİDÜ’N-NÜBÜVVE</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Bir siyer kitabı olan bu eser, Molla Cami’nin aynı adlı eserinin çevirisidir.</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lastRenderedPageBreak/>
        <w:t>2. NEFEHÂTÜ’L-ÜNS TERCÜMESİ</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Cs/>
          <w:color w:val="000000"/>
          <w:sz w:val="28"/>
          <w:szCs w:val="28"/>
          <w:lang w:eastAsia="tr-TR"/>
        </w:rPr>
        <w:t xml:space="preserve">Molla Cami’den çevirdiği bir </w:t>
      </w:r>
      <w:r w:rsidRPr="009445EC">
        <w:rPr>
          <w:rFonts w:eastAsia="Times New Roman"/>
          <w:b/>
          <w:color w:val="000000"/>
          <w:sz w:val="28"/>
          <w:szCs w:val="28"/>
          <w:lang w:eastAsia="tr-TR"/>
        </w:rPr>
        <w:t>evliyalar tezkiresidir</w:t>
      </w:r>
      <w:r w:rsidRPr="009445EC">
        <w:rPr>
          <w:rFonts w:eastAsia="Times New Roman"/>
          <w:bCs/>
          <w:color w:val="000000"/>
          <w:sz w:val="28"/>
          <w:szCs w:val="28"/>
          <w:lang w:eastAsia="tr-TR"/>
        </w:rPr>
        <w:t xml:space="preserve">. Ancak Lamii, eserine bazı Anadolu veli ve şairlerini de eklemiştir. </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3. ŞEREFÜ’L-İNSAN</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Lamii’nin önemli eserlerinden biridir. </w:t>
      </w:r>
      <w:r w:rsidRPr="009445EC">
        <w:rPr>
          <w:rFonts w:eastAsia="Times New Roman"/>
          <w:b/>
          <w:i/>
          <w:iCs/>
          <w:color w:val="000000"/>
          <w:sz w:val="28"/>
          <w:szCs w:val="28"/>
          <w:lang w:eastAsia="tr-TR"/>
        </w:rPr>
        <w:t>Resâilü İhvâni’s-Safâ</w:t>
      </w:r>
      <w:r w:rsidRPr="009445EC">
        <w:rPr>
          <w:rFonts w:eastAsia="Times New Roman"/>
          <w:bCs/>
          <w:color w:val="000000"/>
          <w:sz w:val="28"/>
          <w:szCs w:val="28"/>
          <w:lang w:eastAsia="tr-TR"/>
        </w:rPr>
        <w:t xml:space="preserve"> adlı Arapça felsefe ansiklopedisinin 21. bölümünün çevirisi olup insanlarla hayvanlar arasındaki bir münazarayı konu alır.</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4. LETAİF-NÂME</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Bu eser, Lamii’nin, derlediği latifeleri vererek gözden geçirip tamamlamasını söylediği oğlu tarafından düzenlenmiş bir eserdir. İçinde bazı müstehcen hikâye ve hicivler de yer almaktadır.</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Cs/>
          <w:color w:val="000000"/>
          <w:sz w:val="28"/>
          <w:szCs w:val="28"/>
          <w:lang w:eastAsia="tr-TR"/>
        </w:rPr>
        <w:t xml:space="preserve">Yaşar Çalışkan, </w:t>
      </w:r>
      <w:r w:rsidRPr="009445EC">
        <w:rPr>
          <w:rFonts w:eastAsia="Times New Roman"/>
          <w:b/>
          <w:bCs/>
          <w:i/>
          <w:color w:val="000000"/>
          <w:sz w:val="28"/>
          <w:szCs w:val="28"/>
          <w:lang w:eastAsia="tr-TR"/>
        </w:rPr>
        <w:t>Latifeler</w:t>
      </w:r>
      <w:r w:rsidRPr="009445EC">
        <w:rPr>
          <w:rFonts w:eastAsia="Times New Roman"/>
          <w:bCs/>
          <w:color w:val="000000"/>
          <w:sz w:val="28"/>
          <w:szCs w:val="28"/>
          <w:lang w:eastAsia="tr-TR"/>
        </w:rPr>
        <w:t>, Tercüman 1001 Temel Eser Serisi, İstanbul, 1978.</w:t>
      </w:r>
    </w:p>
    <w:p w:rsidR="009445EC" w:rsidRPr="009445EC" w:rsidRDefault="009445EC" w:rsidP="009445EC">
      <w:pPr>
        <w:tabs>
          <w:tab w:val="left" w:pos="7430"/>
        </w:tabs>
        <w:ind w:firstLine="709"/>
        <w:rPr>
          <w:rFonts w:eastAsia="Times New Roman"/>
          <w:b/>
          <w:bCs/>
          <w:color w:val="000000"/>
          <w:sz w:val="28"/>
          <w:szCs w:val="28"/>
          <w:u w:val="single"/>
          <w:lang w:eastAsia="tr-TR"/>
        </w:rPr>
      </w:pPr>
      <w:r w:rsidRPr="009445EC">
        <w:rPr>
          <w:rFonts w:eastAsia="Times New Roman"/>
          <w:b/>
          <w:bCs/>
          <w:color w:val="000000"/>
          <w:sz w:val="28"/>
          <w:szCs w:val="28"/>
          <w:u w:val="single"/>
          <w:lang w:eastAsia="tr-TR"/>
        </w:rPr>
        <w:t>MANZUM-MENSUR KARIŞIK</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 xml:space="preserve">1. MÜNAZARA-İ BAHÂR U ŞİTÂ </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Sadettin Eğri, </w:t>
      </w:r>
      <w:r w:rsidRPr="009445EC">
        <w:rPr>
          <w:rFonts w:eastAsia="Times New Roman"/>
          <w:b/>
          <w:bCs/>
          <w:i/>
          <w:color w:val="000000"/>
          <w:sz w:val="28"/>
          <w:szCs w:val="28"/>
          <w:lang w:eastAsia="tr-TR"/>
        </w:rPr>
        <w:t>Bir Bursa Efsanesi: Münazara-i Sultan-ı Bahar Ba-Şehriyar-ı Şita</w:t>
      </w:r>
      <w:r w:rsidRPr="009445EC">
        <w:rPr>
          <w:rFonts w:eastAsia="Times New Roman"/>
          <w:bCs/>
          <w:color w:val="000000"/>
          <w:sz w:val="28"/>
          <w:szCs w:val="28"/>
          <w:lang w:eastAsia="tr-TR"/>
        </w:rPr>
        <w:t>, Kitabevi Yay., İstanbul, 2001.</w:t>
      </w:r>
    </w:p>
    <w:p w:rsidR="009445EC" w:rsidRDefault="009445EC" w:rsidP="009445EC">
      <w:pPr>
        <w:tabs>
          <w:tab w:val="right" w:pos="9072"/>
        </w:tabs>
        <w:ind w:firstLine="709"/>
        <w:rPr>
          <w:rFonts w:eastAsia="Times New Roman"/>
          <w:b/>
          <w:bCs/>
          <w:color w:val="000000"/>
          <w:sz w:val="28"/>
          <w:szCs w:val="28"/>
          <w:lang w:eastAsia="tr-TR"/>
        </w:rPr>
      </w:pPr>
    </w:p>
    <w:p w:rsidR="009445EC" w:rsidRPr="009445EC" w:rsidRDefault="009445EC" w:rsidP="009445EC">
      <w:pPr>
        <w:tabs>
          <w:tab w:val="right" w:pos="9072"/>
        </w:tabs>
        <w:ind w:firstLine="709"/>
        <w:rPr>
          <w:rFonts w:eastAsia="Times New Roman"/>
          <w:b/>
          <w:bCs/>
          <w:color w:val="000000"/>
          <w:sz w:val="28"/>
          <w:szCs w:val="28"/>
          <w:lang w:eastAsia="tr-TR"/>
        </w:rPr>
      </w:pPr>
      <w:r w:rsidRPr="009445EC">
        <w:rPr>
          <w:rFonts w:eastAsia="Times New Roman"/>
          <w:b/>
          <w:bCs/>
          <w:color w:val="000000"/>
          <w:sz w:val="28"/>
          <w:szCs w:val="28"/>
          <w:lang w:eastAsia="tr-TR"/>
        </w:rPr>
        <w:lastRenderedPageBreak/>
        <w:t>2. HÜSN Ü DİL</w:t>
      </w:r>
    </w:p>
    <w:p w:rsidR="009445EC" w:rsidRP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İran şairi Fettâhî’nin </w:t>
      </w:r>
      <w:r w:rsidRPr="009445EC">
        <w:rPr>
          <w:rFonts w:eastAsia="Times New Roman"/>
          <w:bCs/>
          <w:i/>
          <w:color w:val="000000"/>
          <w:sz w:val="28"/>
          <w:szCs w:val="28"/>
          <w:lang w:eastAsia="tr-TR"/>
        </w:rPr>
        <w:t>Hüsn ü Dil</w:t>
      </w:r>
      <w:r w:rsidRPr="009445EC">
        <w:rPr>
          <w:rFonts w:eastAsia="Times New Roman"/>
          <w:bCs/>
          <w:color w:val="000000"/>
          <w:sz w:val="28"/>
          <w:szCs w:val="28"/>
          <w:lang w:eastAsia="tr-TR"/>
        </w:rPr>
        <w:t xml:space="preserve"> adlı tasavvufi eserinin Türkçeye çevirisidir.</w:t>
      </w:r>
    </w:p>
    <w:p w:rsidR="009445EC" w:rsidRPr="009445EC" w:rsidRDefault="009445EC" w:rsidP="009445EC">
      <w:pPr>
        <w:ind w:firstLine="709"/>
        <w:rPr>
          <w:rFonts w:eastAsia="Times New Roman"/>
          <w:b/>
          <w:bCs/>
          <w:color w:val="000000"/>
          <w:sz w:val="28"/>
          <w:szCs w:val="28"/>
          <w:lang w:eastAsia="tr-TR"/>
        </w:rPr>
      </w:pPr>
      <w:r w:rsidRPr="009445EC">
        <w:rPr>
          <w:rFonts w:eastAsia="Times New Roman"/>
          <w:b/>
          <w:bCs/>
          <w:color w:val="000000"/>
          <w:sz w:val="28"/>
          <w:szCs w:val="28"/>
          <w:lang w:eastAsia="tr-TR"/>
        </w:rPr>
        <w:t>3.</w:t>
      </w:r>
      <w:r w:rsidRPr="009445EC">
        <w:rPr>
          <w:rFonts w:eastAsia="Times New Roman"/>
          <w:bCs/>
          <w:color w:val="000000"/>
          <w:sz w:val="28"/>
          <w:szCs w:val="28"/>
          <w:lang w:eastAsia="tr-TR"/>
        </w:rPr>
        <w:t xml:space="preserve"> </w:t>
      </w:r>
      <w:r w:rsidRPr="009445EC">
        <w:rPr>
          <w:rFonts w:eastAsia="Times New Roman"/>
          <w:b/>
          <w:bCs/>
          <w:color w:val="000000"/>
          <w:sz w:val="28"/>
          <w:szCs w:val="28"/>
          <w:lang w:eastAsia="tr-TR"/>
        </w:rPr>
        <w:t>ŞERH-İ DİBACE-İ GÜLİSTAN</w:t>
      </w:r>
    </w:p>
    <w:p w:rsidR="009445EC" w:rsidRDefault="009445EC" w:rsidP="009445EC">
      <w:pPr>
        <w:ind w:firstLine="709"/>
        <w:rPr>
          <w:rFonts w:eastAsia="Times New Roman"/>
          <w:bCs/>
          <w:color w:val="000000"/>
          <w:sz w:val="28"/>
          <w:szCs w:val="28"/>
          <w:lang w:eastAsia="tr-TR"/>
        </w:rPr>
      </w:pPr>
      <w:r w:rsidRPr="009445EC">
        <w:rPr>
          <w:rFonts w:eastAsia="Times New Roman"/>
          <w:bCs/>
          <w:color w:val="000000"/>
          <w:sz w:val="28"/>
          <w:szCs w:val="28"/>
          <w:lang w:eastAsia="tr-TR"/>
        </w:rPr>
        <w:t xml:space="preserve">Sadi-i Şirazi’nin </w:t>
      </w:r>
      <w:r w:rsidRPr="009445EC">
        <w:rPr>
          <w:rFonts w:eastAsia="Times New Roman"/>
          <w:bCs/>
          <w:i/>
          <w:color w:val="000000"/>
          <w:sz w:val="28"/>
          <w:szCs w:val="28"/>
          <w:lang w:eastAsia="tr-TR"/>
        </w:rPr>
        <w:t>Gülistan</w:t>
      </w:r>
      <w:r w:rsidRPr="009445EC">
        <w:rPr>
          <w:rFonts w:eastAsia="Times New Roman"/>
          <w:bCs/>
          <w:color w:val="000000"/>
          <w:sz w:val="28"/>
          <w:szCs w:val="28"/>
          <w:lang w:eastAsia="tr-TR"/>
        </w:rPr>
        <w:t xml:space="preserve"> adlı eserinin dibacesinin şerhidir.</w:t>
      </w:r>
    </w:p>
    <w:p w:rsidR="009445EC" w:rsidRDefault="009445EC" w:rsidP="009445EC">
      <w:pPr>
        <w:ind w:firstLine="709"/>
        <w:rPr>
          <w:rFonts w:eastAsia="Times New Roman"/>
          <w:bCs/>
          <w:color w:val="000000"/>
          <w:sz w:val="28"/>
          <w:szCs w:val="28"/>
          <w:lang w:eastAsia="tr-TR"/>
        </w:rPr>
      </w:pPr>
    </w:p>
    <w:p w:rsidR="009445EC" w:rsidRPr="009445EC" w:rsidRDefault="009445EC" w:rsidP="009445EC">
      <w:pPr>
        <w:ind w:firstLine="709"/>
        <w:rPr>
          <w:rFonts w:eastAsia="Times New Roman"/>
          <w:b/>
          <w:sz w:val="28"/>
          <w:szCs w:val="28"/>
          <w:lang w:eastAsia="tr-TR"/>
        </w:rPr>
      </w:pPr>
      <w:r w:rsidRPr="009445EC">
        <w:rPr>
          <w:rFonts w:eastAsia="Times New Roman"/>
          <w:b/>
          <w:sz w:val="28"/>
          <w:szCs w:val="28"/>
          <w:lang w:eastAsia="tr-TR"/>
        </w:rPr>
        <w:t>HAYRETİ (ö.1534)</w:t>
      </w:r>
    </w:p>
    <w:p w:rsidR="00156004" w:rsidRPr="009445EC" w:rsidRDefault="009445EC" w:rsidP="009445EC">
      <w:pPr>
        <w:ind w:firstLine="708"/>
        <w:rPr>
          <w:sz w:val="28"/>
          <w:szCs w:val="28"/>
        </w:rPr>
      </w:pPr>
      <w:bookmarkStart w:id="0" w:name="_GoBack"/>
      <w:bookmarkEnd w:id="0"/>
      <w:r w:rsidRPr="009445EC">
        <w:rPr>
          <w:rFonts w:eastAsia="Times New Roman"/>
          <w:sz w:val="28"/>
          <w:szCs w:val="28"/>
          <w:lang w:eastAsia="tr-TR"/>
        </w:rPr>
        <w:t>Bk. Mustafa Tatçı, “Hayreti”, TDVİA, C.17, s.61,62.</w:t>
      </w:r>
    </w:p>
    <w:sectPr w:rsidR="00156004" w:rsidRPr="009445EC" w:rsidSect="009445EC">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AD9" w:rsidRDefault="000A6AD9" w:rsidP="009445EC">
      <w:pPr>
        <w:spacing w:line="240" w:lineRule="auto"/>
      </w:pPr>
      <w:r>
        <w:separator/>
      </w:r>
    </w:p>
  </w:endnote>
  <w:endnote w:type="continuationSeparator" w:id="0">
    <w:p w:rsidR="000A6AD9" w:rsidRDefault="000A6AD9" w:rsidP="00944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AD9" w:rsidRDefault="000A6AD9" w:rsidP="009445EC">
      <w:pPr>
        <w:spacing w:line="240" w:lineRule="auto"/>
      </w:pPr>
      <w:r>
        <w:separator/>
      </w:r>
    </w:p>
  </w:footnote>
  <w:footnote w:type="continuationSeparator" w:id="0">
    <w:p w:rsidR="000A6AD9" w:rsidRDefault="000A6AD9" w:rsidP="009445EC">
      <w:pPr>
        <w:spacing w:line="240" w:lineRule="auto"/>
      </w:pPr>
      <w:r>
        <w:continuationSeparator/>
      </w:r>
    </w:p>
  </w:footnote>
  <w:footnote w:id="1">
    <w:p w:rsidR="009445EC" w:rsidRDefault="009445EC" w:rsidP="009445EC">
      <w:pPr>
        <w:pStyle w:val="DipnotMetni"/>
        <w:jc w:val="both"/>
      </w:pPr>
      <w:r>
        <w:rPr>
          <w:rStyle w:val="DipnotBavurusu"/>
        </w:rPr>
        <w:footnoteRef/>
      </w:r>
      <w:r>
        <w:t xml:space="preserve"> </w:t>
      </w:r>
      <w:r w:rsidRPr="007C2F4B">
        <w:rPr>
          <w:i/>
          <w:iCs/>
        </w:rPr>
        <w:t>Heft-peyker</w:t>
      </w:r>
      <w:r>
        <w:t xml:space="preserve"> olarak bilinen hikâyenin konusu, genellikle Behrâm-ı Gûr olarak anılan ve zamanla kendisine yedi prensesin eş olduğu Sâsânî kralı 5. Behram’ın aşk hikâyesidir. Hikâye, ismini Behrâm’ın Havernak sarayında gördüğü ve asıllarını eşi olarak elde etmeye karar verdiği ayrı ayrı yapılmış yedi prensesin resimlerinden almıştır. Birçok Doğu masalında olduğu gibi </w:t>
      </w:r>
      <w:r w:rsidRPr="007C2F4B">
        <w:rPr>
          <w:i/>
          <w:iCs/>
        </w:rPr>
        <w:t>Heft-peyker</w:t>
      </w:r>
      <w:r>
        <w:t xml:space="preserve"> de her bir prensesin, kralın kendilerine ziyarete geldiğinde onu eğlendirmek için anlattıkları aşk hikâyelerinden oluşur.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EC"/>
    <w:rsid w:val="000A6AD9"/>
    <w:rsid w:val="00156004"/>
    <w:rsid w:val="00764A60"/>
    <w:rsid w:val="009445EC"/>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B826"/>
  <w15:chartTrackingRefBased/>
  <w15:docId w15:val="{5FA61FEE-1318-4B8D-9B79-5D773252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9445EC"/>
    <w:pPr>
      <w:spacing w:line="240" w:lineRule="auto"/>
      <w:jc w:val="left"/>
    </w:pPr>
    <w:rPr>
      <w:rFonts w:eastAsia="Times New Roman"/>
      <w:sz w:val="20"/>
      <w:szCs w:val="20"/>
      <w:lang w:eastAsia="tr-TR"/>
    </w:rPr>
  </w:style>
  <w:style w:type="character" w:customStyle="1" w:styleId="DipnotMetniChar">
    <w:name w:val="Dipnot Metni Char"/>
    <w:basedOn w:val="VarsaylanParagrafYazTipi"/>
    <w:link w:val="DipnotMetni"/>
    <w:semiHidden/>
    <w:rsid w:val="009445EC"/>
    <w:rPr>
      <w:rFonts w:eastAsia="Times New Roman"/>
      <w:sz w:val="20"/>
      <w:szCs w:val="20"/>
      <w:lang w:eastAsia="tr-TR"/>
    </w:rPr>
  </w:style>
  <w:style w:type="character" w:styleId="DipnotBavurusu">
    <w:name w:val="footnote reference"/>
    <w:basedOn w:val="VarsaylanParagrafYazTipi"/>
    <w:semiHidden/>
    <w:rsid w:val="00944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2020-05-10T13:32:00Z</dcterms:created>
  <dcterms:modified xsi:type="dcterms:W3CDTF">2020-05-10T13:37:00Z</dcterms:modified>
</cp:coreProperties>
</file>