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020" w:rsidRPr="004C3020" w:rsidRDefault="004C3020" w:rsidP="004C3020">
      <w:pPr>
        <w:spacing w:line="480" w:lineRule="auto"/>
        <w:ind w:firstLine="709"/>
        <w:jc w:val="center"/>
        <w:rPr>
          <w:b/>
          <w:sz w:val="28"/>
          <w:szCs w:val="28"/>
        </w:rPr>
      </w:pPr>
      <w:bookmarkStart w:id="0" w:name="_GoBack"/>
      <w:r w:rsidRPr="004C3020">
        <w:rPr>
          <w:b/>
          <w:sz w:val="32"/>
          <w:szCs w:val="32"/>
        </w:rPr>
        <w:t>NEV’Î (d.1533, ö.1599)</w:t>
      </w:r>
      <w:bookmarkEnd w:id="0"/>
    </w:p>
    <w:p w:rsidR="004C3020" w:rsidRPr="004C3020" w:rsidRDefault="004C3020" w:rsidP="004C3020">
      <w:pPr>
        <w:spacing w:line="480" w:lineRule="auto"/>
        <w:ind w:firstLine="709"/>
        <w:jc w:val="both"/>
        <w:rPr>
          <w:sz w:val="28"/>
          <w:szCs w:val="28"/>
        </w:rPr>
      </w:pPr>
      <w:r w:rsidRPr="004C3020">
        <w:rPr>
          <w:sz w:val="28"/>
          <w:szCs w:val="28"/>
        </w:rPr>
        <w:t xml:space="preserve">Malkara’da doğmuştur. İlk eğitimini bir Halveti şeyhi olan ve tasavvuf konusundaki yetkinliği ile tanınan babası Pir Ali’den almıştır. Daha sonra İstanbul’a giderek Karamanî Ahmet ve Mehmet Efendilerden medrese eğitimi almıştır. </w:t>
      </w:r>
      <w:r w:rsidRPr="004C3020">
        <w:rPr>
          <w:b/>
          <w:sz w:val="28"/>
          <w:szCs w:val="28"/>
        </w:rPr>
        <w:t>Baki, Hoca Sadettin, Edirneli Mehmet Mecdi, Cevri ve Üsküplü Vâlihî</w:t>
      </w:r>
      <w:r w:rsidRPr="004C3020">
        <w:rPr>
          <w:sz w:val="28"/>
          <w:szCs w:val="28"/>
        </w:rPr>
        <w:t xml:space="preserve"> gibi daha sonraki dönemlerin önemli şahsiyetleri ile medrese arkadaşlığı yapmıştır. Medrese eğitiminin ardından müderris olan Nev’i, </w:t>
      </w:r>
      <w:r w:rsidRPr="004C3020">
        <w:rPr>
          <w:b/>
          <w:bCs/>
          <w:sz w:val="28"/>
          <w:szCs w:val="28"/>
        </w:rPr>
        <w:t>Gelibolu ve İstanbul’daki çeşitli medreselerde müderrislik yapmıştır</w:t>
      </w:r>
      <w:r w:rsidRPr="004C3020">
        <w:rPr>
          <w:sz w:val="28"/>
          <w:szCs w:val="28"/>
        </w:rPr>
        <w:t>.1590 yılında III. Murad tarafından Şehzade Mustafa’nın hocalığına tayin edilmiştir. Bu sırada hükümdarın diğer şehzadelerine de hocalık yapmıştır. Nev’i’nin saray hocalığı III. Mehmed zamanında da sürmüştür. III. Murad’ın büyük teveccüh gösterdiği Nev’i, hükümdarın bazı idari konularda müşavirliğini de yapmıştır. 1599’da İstanbul’da ölmüştür.</w:t>
      </w:r>
    </w:p>
    <w:p w:rsidR="004C3020" w:rsidRPr="004C3020" w:rsidRDefault="004C3020" w:rsidP="004C3020">
      <w:pPr>
        <w:spacing w:line="480" w:lineRule="auto"/>
        <w:ind w:firstLine="709"/>
        <w:jc w:val="both"/>
        <w:rPr>
          <w:sz w:val="28"/>
          <w:szCs w:val="28"/>
        </w:rPr>
      </w:pPr>
      <w:r w:rsidRPr="004C3020">
        <w:rPr>
          <w:sz w:val="28"/>
          <w:szCs w:val="28"/>
        </w:rPr>
        <w:t xml:space="preserve">Nev’i, aldığı tasavvuf kültürünün etkisiyle zühd ve takvaya mayil, rind ve derviş-meşreb kişiliğiyle tanınmıştır. Şiirlerinde külfetli ifadelerden uzak, sade bir dil kullanmıştır. Mürettep bir divanı olan Nev’i’nin en güzel şiirleri âşıkane, rindane ve kısmen felsefi-tasavvufi eda ile yazdığı gazelleridir. Kasideleri içinde en meşhuru III. Murad’ın büyük şehzadesi Mehmed’in (daha sonra Sultan III. Mehmed olur) sünnet düğününü anlatan </w:t>
      </w:r>
      <w:r w:rsidRPr="004C3020">
        <w:rPr>
          <w:b/>
          <w:i/>
          <w:sz w:val="28"/>
          <w:szCs w:val="28"/>
        </w:rPr>
        <w:t>Suriyye</w:t>
      </w:r>
      <w:r w:rsidRPr="004C3020">
        <w:rPr>
          <w:sz w:val="28"/>
          <w:szCs w:val="28"/>
        </w:rPr>
        <w:t xml:space="preserve"> </w:t>
      </w:r>
      <w:r w:rsidRPr="004C3020">
        <w:rPr>
          <w:b/>
          <w:i/>
          <w:sz w:val="28"/>
          <w:szCs w:val="28"/>
        </w:rPr>
        <w:t>Kasidesi</w:t>
      </w:r>
      <w:r w:rsidRPr="004C3020">
        <w:rPr>
          <w:sz w:val="28"/>
          <w:szCs w:val="28"/>
        </w:rPr>
        <w:t>’dir. İhtişam ve eğlenceleri ile uzun süre hatıralardan silinmeyen bu düğünün tasvirini yaparken sanatının bütün inceliklerini kullanmıştır.</w:t>
      </w:r>
    </w:p>
    <w:p w:rsidR="004C3020" w:rsidRPr="004C3020" w:rsidRDefault="004C3020" w:rsidP="004C3020">
      <w:pPr>
        <w:spacing w:line="480" w:lineRule="auto"/>
        <w:ind w:firstLine="709"/>
        <w:jc w:val="both"/>
        <w:rPr>
          <w:sz w:val="28"/>
          <w:szCs w:val="28"/>
        </w:rPr>
      </w:pPr>
      <w:r w:rsidRPr="004C3020">
        <w:rPr>
          <w:sz w:val="28"/>
          <w:szCs w:val="28"/>
        </w:rPr>
        <w:lastRenderedPageBreak/>
        <w:t>Mürettep divan dışında, ilmî ve edebî konularda manzum ve mensur çok sayıda eser ve risale yazmıştır. Şairin önemli eserlerinin belli başlıları şunlardır:</w:t>
      </w:r>
    </w:p>
    <w:p w:rsidR="004C3020" w:rsidRPr="004C3020" w:rsidRDefault="004C3020" w:rsidP="004C3020">
      <w:pPr>
        <w:spacing w:line="480" w:lineRule="auto"/>
        <w:ind w:firstLine="709"/>
        <w:jc w:val="both"/>
        <w:rPr>
          <w:sz w:val="28"/>
          <w:szCs w:val="28"/>
        </w:rPr>
      </w:pPr>
      <w:r w:rsidRPr="004C3020">
        <w:rPr>
          <w:b/>
          <w:sz w:val="28"/>
          <w:szCs w:val="28"/>
        </w:rPr>
        <w:t>1. DİVAN:</w:t>
      </w:r>
      <w:r w:rsidRPr="004C3020">
        <w:rPr>
          <w:sz w:val="28"/>
          <w:szCs w:val="28"/>
        </w:rPr>
        <w:t xml:space="preserve"> Mürettep bir divandır. Hemen her nazım şekliyle yazılmış şiir bulunan divandaki gazellerin sayısı 559’dur.</w:t>
      </w:r>
    </w:p>
    <w:p w:rsidR="004C3020" w:rsidRPr="004C3020" w:rsidRDefault="004C3020" w:rsidP="004C3020">
      <w:pPr>
        <w:spacing w:line="480" w:lineRule="auto"/>
        <w:ind w:firstLine="709"/>
        <w:jc w:val="both"/>
        <w:rPr>
          <w:noProof/>
          <w:sz w:val="28"/>
          <w:szCs w:val="28"/>
        </w:rPr>
      </w:pPr>
      <w:r w:rsidRPr="004C3020">
        <w:rPr>
          <w:noProof/>
          <w:sz w:val="28"/>
          <w:szCs w:val="28"/>
        </w:rPr>
        <w:t xml:space="preserve">Mertol Tulum, Mehmet Ali Tanyeri, </w:t>
      </w:r>
      <w:r w:rsidRPr="004C3020">
        <w:rPr>
          <w:b/>
          <w:i/>
          <w:noProof/>
          <w:sz w:val="28"/>
          <w:szCs w:val="28"/>
        </w:rPr>
        <w:t>Nev'î: Divan</w:t>
      </w:r>
      <w:r w:rsidRPr="004C3020">
        <w:rPr>
          <w:noProof/>
          <w:sz w:val="28"/>
          <w:szCs w:val="28"/>
        </w:rPr>
        <w:t>, İstanbul Üniversitesi Edebiyat Fakültesi Yayınları, İstanbul, 1977.</w:t>
      </w:r>
    </w:p>
    <w:p w:rsidR="004C3020" w:rsidRPr="004C3020" w:rsidRDefault="004C3020" w:rsidP="004C3020">
      <w:pPr>
        <w:spacing w:line="480" w:lineRule="auto"/>
        <w:ind w:firstLine="709"/>
        <w:jc w:val="both"/>
        <w:rPr>
          <w:sz w:val="28"/>
          <w:szCs w:val="28"/>
        </w:rPr>
      </w:pPr>
      <w:r w:rsidRPr="004C3020">
        <w:rPr>
          <w:sz w:val="28"/>
          <w:szCs w:val="28"/>
        </w:rPr>
        <w:t xml:space="preserve">M. Nejat Sefercioğlu, </w:t>
      </w:r>
      <w:r w:rsidRPr="004C3020">
        <w:rPr>
          <w:b/>
          <w:i/>
          <w:sz w:val="28"/>
          <w:szCs w:val="28"/>
        </w:rPr>
        <w:t>Nev’i Divanı’nın Tahlili</w:t>
      </w:r>
      <w:r w:rsidRPr="004C3020">
        <w:rPr>
          <w:sz w:val="28"/>
          <w:szCs w:val="28"/>
        </w:rPr>
        <w:t>, Ankara, 1984.</w:t>
      </w:r>
    </w:p>
    <w:p w:rsidR="004C3020" w:rsidRPr="004C3020" w:rsidRDefault="004C3020" w:rsidP="004C3020">
      <w:pPr>
        <w:spacing w:line="480" w:lineRule="auto"/>
        <w:ind w:firstLine="709"/>
        <w:jc w:val="both"/>
        <w:rPr>
          <w:sz w:val="28"/>
          <w:szCs w:val="28"/>
        </w:rPr>
      </w:pPr>
      <w:r w:rsidRPr="004C3020">
        <w:rPr>
          <w:b/>
          <w:sz w:val="28"/>
          <w:szCs w:val="28"/>
        </w:rPr>
        <w:t>2. HADİS-İ ERBAİN TERCÜMESİ:</w:t>
      </w:r>
      <w:r w:rsidRPr="004C3020">
        <w:rPr>
          <w:sz w:val="28"/>
          <w:szCs w:val="28"/>
        </w:rPr>
        <w:t xml:space="preserve"> Bir kısmı Molla Cami’den, bir kısmı da yaygın olarak bilinen hadislerin toplanıp kıt’a şeklinde tercüme edildiği bir eserdir.</w:t>
      </w:r>
    </w:p>
    <w:p w:rsidR="004C3020" w:rsidRPr="004C3020" w:rsidRDefault="004C3020" w:rsidP="004C3020">
      <w:pPr>
        <w:spacing w:line="480" w:lineRule="auto"/>
        <w:ind w:firstLine="709"/>
        <w:jc w:val="both"/>
        <w:rPr>
          <w:sz w:val="28"/>
          <w:szCs w:val="28"/>
        </w:rPr>
      </w:pPr>
      <w:r w:rsidRPr="004C3020">
        <w:rPr>
          <w:b/>
          <w:sz w:val="28"/>
          <w:szCs w:val="28"/>
        </w:rPr>
        <w:t>3. HASB-İ HÂL:</w:t>
      </w:r>
      <w:r w:rsidRPr="004C3020">
        <w:rPr>
          <w:sz w:val="28"/>
          <w:szCs w:val="28"/>
        </w:rPr>
        <w:t xml:space="preserve"> 800 beyit civarında tasavvufi bir mesnevidir. Tasavvufun belli başlı esasları 36 başlık altında anlatılmıştır. Şair burada kendi ruhsal yolculuğunu (seyr ü sülûk) anlatmıştır. Eserde tasavvufî aşk sembolik bir anlatımla nazmedilmiş; irşad, istinga, meyl, ihtiyar, sabr ve karar gibi soyut tasavvufi kavramlar teşhis edilerek âşığın </w:t>
      </w:r>
      <w:proofErr w:type="gramStart"/>
      <w:r w:rsidRPr="004C3020">
        <w:rPr>
          <w:sz w:val="28"/>
          <w:szCs w:val="28"/>
        </w:rPr>
        <w:t>beşeri</w:t>
      </w:r>
      <w:proofErr w:type="gramEnd"/>
      <w:r w:rsidRPr="004C3020">
        <w:rPr>
          <w:sz w:val="28"/>
          <w:szCs w:val="28"/>
        </w:rPr>
        <w:t xml:space="preserve"> aşktan İlahî aşka geçişi ve sonunda vuslata (fena ve beka) erişi temsilî istiarelerle hikâye edilmiştir. Teması ve anlatım tekniği bakımından son derece önemli olan bu eseri Gölpınarlı, </w:t>
      </w:r>
      <w:r w:rsidRPr="004C3020">
        <w:rPr>
          <w:i/>
          <w:sz w:val="28"/>
          <w:szCs w:val="28"/>
        </w:rPr>
        <w:t>Kutadgu Bilig</w:t>
      </w:r>
      <w:r w:rsidRPr="004C3020">
        <w:rPr>
          <w:sz w:val="28"/>
          <w:szCs w:val="28"/>
        </w:rPr>
        <w:t xml:space="preserve">, </w:t>
      </w:r>
      <w:r w:rsidRPr="004C3020">
        <w:rPr>
          <w:i/>
          <w:sz w:val="28"/>
          <w:szCs w:val="28"/>
        </w:rPr>
        <w:t>Risaletü’n-Nushiyye</w:t>
      </w:r>
      <w:r w:rsidRPr="004C3020">
        <w:rPr>
          <w:sz w:val="28"/>
          <w:szCs w:val="28"/>
        </w:rPr>
        <w:t xml:space="preserve"> ve </w:t>
      </w:r>
      <w:r w:rsidRPr="004C3020">
        <w:rPr>
          <w:i/>
          <w:sz w:val="28"/>
          <w:szCs w:val="28"/>
        </w:rPr>
        <w:t>Hüsn ü Aşk</w:t>
      </w:r>
      <w:r w:rsidRPr="004C3020">
        <w:rPr>
          <w:sz w:val="28"/>
          <w:szCs w:val="28"/>
        </w:rPr>
        <w:t>’la beraber edebiyatımızda teşhise dayalı olarak yazılmış dört önemli mesneviden biri olarak değerlendirmiştir.</w:t>
      </w:r>
    </w:p>
    <w:p w:rsidR="004C3020" w:rsidRPr="004C3020" w:rsidRDefault="004C3020" w:rsidP="004C3020">
      <w:pPr>
        <w:spacing w:line="480" w:lineRule="auto"/>
        <w:ind w:firstLine="709"/>
        <w:jc w:val="both"/>
        <w:rPr>
          <w:sz w:val="28"/>
          <w:szCs w:val="28"/>
        </w:rPr>
      </w:pPr>
      <w:r w:rsidRPr="004C3020">
        <w:rPr>
          <w:b/>
          <w:sz w:val="28"/>
          <w:szCs w:val="28"/>
        </w:rPr>
        <w:lastRenderedPageBreak/>
        <w:t xml:space="preserve">4. MÜNAZARA-İ TÛTÎ VÜ ZÂĞ: </w:t>
      </w:r>
      <w:r w:rsidRPr="004C3020">
        <w:rPr>
          <w:sz w:val="28"/>
          <w:szCs w:val="28"/>
        </w:rPr>
        <w:t>Papağan ile karganın münazarasının konu edildiği 441 beyitlik, alegorik tasavvufi bir mesnevidir. Bu münazarada tûtî “rûh-ı rahmânî”yi (insan ruhunu) zâğ ise “tab’-ı hayvânî”yi (nefsi) temsil eder. Dolayısıyla eserde, ruh ile nefsin ezelî mücadelesi ve bu mücadelede ruhun nefse üstünlüğü ispatlanmaya çalışılmıştır.</w:t>
      </w:r>
    </w:p>
    <w:p w:rsidR="004C3020" w:rsidRPr="004C3020" w:rsidRDefault="004C3020" w:rsidP="004C3020">
      <w:pPr>
        <w:spacing w:line="480" w:lineRule="auto"/>
        <w:ind w:firstLine="709"/>
        <w:jc w:val="both"/>
        <w:rPr>
          <w:sz w:val="28"/>
          <w:szCs w:val="28"/>
        </w:rPr>
      </w:pPr>
      <w:r w:rsidRPr="004C3020">
        <w:rPr>
          <w:sz w:val="28"/>
          <w:szCs w:val="28"/>
        </w:rPr>
        <w:t>Abdülkadir Gürer, “ Nev’î’nin Kayıp Sanılan İki Eseri: ‘Münazara-i Tûtî vü Zâğ’ ve Gevher-i Râz”, Türk Dilleri Araştırmaları Dergisi, C.15, İstanbul, 2005 s.85-179.</w:t>
      </w:r>
    </w:p>
    <w:p w:rsidR="004C3020" w:rsidRPr="004C3020" w:rsidRDefault="004C3020" w:rsidP="004C3020">
      <w:pPr>
        <w:spacing w:line="480" w:lineRule="auto"/>
        <w:ind w:firstLine="709"/>
        <w:jc w:val="both"/>
        <w:rPr>
          <w:sz w:val="28"/>
          <w:szCs w:val="28"/>
        </w:rPr>
      </w:pPr>
      <w:r w:rsidRPr="004C3020">
        <w:rPr>
          <w:sz w:val="28"/>
          <w:szCs w:val="28"/>
        </w:rPr>
        <w:t>Ömer Zülfe, Hakan Taş, “</w:t>
      </w:r>
      <w:r w:rsidRPr="004C3020">
        <w:rPr>
          <w:b/>
          <w:sz w:val="28"/>
          <w:szCs w:val="28"/>
        </w:rPr>
        <w:t>Nev’î’nin Münazara-i Tûtî vü Zâğ Adlı Mesnevisi</w:t>
      </w:r>
      <w:r w:rsidRPr="004C3020">
        <w:rPr>
          <w:sz w:val="28"/>
          <w:szCs w:val="28"/>
        </w:rPr>
        <w:t xml:space="preserve">”, </w:t>
      </w:r>
      <w:r w:rsidRPr="004C3020">
        <w:rPr>
          <w:i/>
          <w:sz w:val="28"/>
          <w:szCs w:val="28"/>
        </w:rPr>
        <w:t>Turkish Studies</w:t>
      </w:r>
      <w:r w:rsidRPr="004C3020">
        <w:rPr>
          <w:sz w:val="28"/>
          <w:szCs w:val="28"/>
        </w:rPr>
        <w:t>, Vol.2/3 Summer 2007, s.660-696.</w:t>
      </w:r>
    </w:p>
    <w:p w:rsidR="004C3020" w:rsidRPr="004C3020" w:rsidRDefault="004C3020" w:rsidP="004C3020">
      <w:pPr>
        <w:tabs>
          <w:tab w:val="left" w:pos="7240"/>
        </w:tabs>
        <w:spacing w:before="120" w:line="480" w:lineRule="auto"/>
        <w:ind w:firstLine="709"/>
        <w:jc w:val="both"/>
        <w:rPr>
          <w:sz w:val="28"/>
          <w:szCs w:val="28"/>
        </w:rPr>
      </w:pPr>
      <w:r w:rsidRPr="004C3020">
        <w:rPr>
          <w:b/>
          <w:sz w:val="28"/>
          <w:szCs w:val="28"/>
        </w:rPr>
        <w:t xml:space="preserve">5. NETAYİCU’L-FÜNÛN (VE MEHÂSİNU’L-MÜTÛN): </w:t>
      </w:r>
      <w:r w:rsidRPr="004C3020">
        <w:rPr>
          <w:sz w:val="28"/>
          <w:szCs w:val="28"/>
        </w:rPr>
        <w:t>12 farklı ilim ve fen üzerine (tarih, hikmet, heyet, kelam, fıkıh, tefsir, tasavvuf, tıp, rüya, nücum vb.) önemli ansiklopedik bilgiler içeren mensur bir eserdir.</w:t>
      </w:r>
    </w:p>
    <w:p w:rsidR="004C3020" w:rsidRPr="004C3020" w:rsidRDefault="004C3020" w:rsidP="004C3020">
      <w:pPr>
        <w:tabs>
          <w:tab w:val="left" w:pos="7240"/>
        </w:tabs>
        <w:spacing w:line="480" w:lineRule="auto"/>
        <w:ind w:firstLine="709"/>
        <w:jc w:val="both"/>
        <w:rPr>
          <w:sz w:val="28"/>
          <w:szCs w:val="28"/>
        </w:rPr>
      </w:pPr>
      <w:r w:rsidRPr="004C3020">
        <w:rPr>
          <w:sz w:val="28"/>
          <w:szCs w:val="28"/>
        </w:rPr>
        <w:t xml:space="preserve">Ömer Tolgay, </w:t>
      </w:r>
      <w:r w:rsidRPr="004C3020">
        <w:rPr>
          <w:b/>
          <w:i/>
          <w:sz w:val="28"/>
          <w:szCs w:val="28"/>
        </w:rPr>
        <w:t>İlimlerin Özü Netâyic el-Fünûn</w:t>
      </w:r>
      <w:r w:rsidRPr="004C3020">
        <w:rPr>
          <w:sz w:val="28"/>
          <w:szCs w:val="28"/>
        </w:rPr>
        <w:t>, İstanbul, 1995.</w:t>
      </w:r>
    </w:p>
    <w:p w:rsidR="004C3020" w:rsidRPr="004C3020" w:rsidRDefault="004C3020" w:rsidP="004C3020">
      <w:pPr>
        <w:tabs>
          <w:tab w:val="left" w:pos="7240"/>
        </w:tabs>
        <w:spacing w:line="480" w:lineRule="auto"/>
        <w:ind w:firstLine="709"/>
        <w:jc w:val="both"/>
        <w:rPr>
          <w:sz w:val="28"/>
          <w:szCs w:val="28"/>
        </w:rPr>
      </w:pPr>
      <w:r w:rsidRPr="004C3020">
        <w:rPr>
          <w:b/>
          <w:sz w:val="28"/>
          <w:szCs w:val="28"/>
        </w:rPr>
        <w:t xml:space="preserve">5. NEVÂ-YI UŞŞÂK: </w:t>
      </w:r>
      <w:r w:rsidRPr="004C3020">
        <w:rPr>
          <w:sz w:val="28"/>
          <w:szCs w:val="28"/>
        </w:rPr>
        <w:t>Sinan Paşa’nın Tazarru-name’si gibi secili ve sanatkârâne üslupla yazılmış münacat konulu mensur bir eserdir.</w:t>
      </w:r>
    </w:p>
    <w:p w:rsidR="004C3020" w:rsidRPr="004C3020" w:rsidRDefault="004C3020" w:rsidP="004C3020">
      <w:pPr>
        <w:tabs>
          <w:tab w:val="left" w:pos="6420"/>
          <w:tab w:val="left" w:pos="6540"/>
        </w:tabs>
        <w:spacing w:line="480" w:lineRule="auto"/>
        <w:ind w:firstLine="709"/>
        <w:jc w:val="both"/>
        <w:rPr>
          <w:sz w:val="28"/>
          <w:szCs w:val="28"/>
        </w:rPr>
      </w:pPr>
      <w:r w:rsidRPr="004C3020">
        <w:rPr>
          <w:b/>
          <w:sz w:val="28"/>
          <w:szCs w:val="28"/>
        </w:rPr>
        <w:lastRenderedPageBreak/>
        <w:t xml:space="preserve">6. SİNAN PAŞA’YA MEKTUP: </w:t>
      </w:r>
      <w:r w:rsidRPr="004C3020">
        <w:rPr>
          <w:sz w:val="28"/>
          <w:szCs w:val="28"/>
        </w:rPr>
        <w:t>Sadrazam Koca Sinan Paşa’nın</w:t>
      </w:r>
      <w:r w:rsidRPr="004C3020">
        <w:rPr>
          <w:b/>
          <w:sz w:val="28"/>
          <w:szCs w:val="28"/>
        </w:rPr>
        <w:t xml:space="preserve"> </w:t>
      </w:r>
      <w:r w:rsidRPr="004C3020">
        <w:rPr>
          <w:sz w:val="28"/>
          <w:szCs w:val="28"/>
        </w:rPr>
        <w:t xml:space="preserve">“Şair ehl-i ilm olmaz” sözü üzerine yazılan ve şiirin bir ilim sayıldığı, gerçek şairlerin aynı zamanda ilim sahibi olduklarını, Hz. Muhammed’in şiiri ve şairleri sevdiğini anlatan özel bir mektuptur. Bu mektup Nev’i’nin oğlu Ataî’nin Şakâ’ik Zeyli olarak bilinen </w:t>
      </w:r>
      <w:r w:rsidRPr="004C3020">
        <w:rPr>
          <w:i/>
          <w:sz w:val="28"/>
          <w:szCs w:val="28"/>
        </w:rPr>
        <w:t>Hadâiku’l-Hakâik fî Tekmileti’ş-Şakâ’ik</w:t>
      </w:r>
      <w:r w:rsidRPr="004C3020">
        <w:rPr>
          <w:sz w:val="28"/>
          <w:szCs w:val="28"/>
        </w:rPr>
        <w:t xml:space="preserve"> adlı eserinde yer almaktadır.</w:t>
      </w:r>
    </w:p>
    <w:p w:rsidR="004C3020" w:rsidRPr="004C3020" w:rsidRDefault="004C3020" w:rsidP="004C3020">
      <w:pPr>
        <w:tabs>
          <w:tab w:val="left" w:pos="6420"/>
          <w:tab w:val="left" w:pos="6540"/>
        </w:tabs>
        <w:spacing w:line="480" w:lineRule="auto"/>
        <w:ind w:firstLine="709"/>
        <w:jc w:val="both"/>
        <w:rPr>
          <w:sz w:val="28"/>
          <w:szCs w:val="28"/>
        </w:rPr>
      </w:pPr>
      <w:r w:rsidRPr="004C3020">
        <w:rPr>
          <w:sz w:val="28"/>
          <w:szCs w:val="28"/>
        </w:rPr>
        <w:t>Tunca Kortantamer, “</w:t>
      </w:r>
      <w:r w:rsidRPr="004C3020">
        <w:rPr>
          <w:b/>
          <w:sz w:val="28"/>
          <w:szCs w:val="28"/>
        </w:rPr>
        <w:t>Nev’i Efendi’nin Sadrazam Sinan Paşa’ya Ders Veren Bir Mektubu</w:t>
      </w:r>
      <w:r w:rsidRPr="004C3020">
        <w:rPr>
          <w:sz w:val="28"/>
          <w:szCs w:val="28"/>
        </w:rPr>
        <w:t xml:space="preserve">”, </w:t>
      </w:r>
      <w:r w:rsidRPr="004C3020">
        <w:rPr>
          <w:i/>
          <w:sz w:val="28"/>
          <w:szCs w:val="28"/>
        </w:rPr>
        <w:t>Eski Türk Edebiyatı Makaleler</w:t>
      </w:r>
      <w:r w:rsidRPr="004C3020">
        <w:rPr>
          <w:sz w:val="28"/>
          <w:szCs w:val="28"/>
        </w:rPr>
        <w:t>, Kültür Bak.Yay., Ankara, 2004, s. 178-189.</w:t>
      </w:r>
    </w:p>
    <w:p w:rsidR="004C3020" w:rsidRPr="004C3020" w:rsidRDefault="004C3020" w:rsidP="004C3020">
      <w:pPr>
        <w:tabs>
          <w:tab w:val="left" w:pos="6420"/>
          <w:tab w:val="left" w:pos="6540"/>
        </w:tabs>
        <w:spacing w:line="480" w:lineRule="auto"/>
        <w:ind w:firstLine="709"/>
        <w:jc w:val="both"/>
        <w:rPr>
          <w:b/>
          <w:sz w:val="28"/>
          <w:szCs w:val="28"/>
          <w:u w:val="single"/>
        </w:rPr>
      </w:pPr>
      <w:r w:rsidRPr="004C3020">
        <w:rPr>
          <w:b/>
          <w:sz w:val="28"/>
          <w:szCs w:val="28"/>
          <w:u w:val="single"/>
        </w:rPr>
        <w:t>Kaynakça</w:t>
      </w:r>
    </w:p>
    <w:p w:rsidR="004C3020" w:rsidRPr="004C3020" w:rsidRDefault="004C3020" w:rsidP="004C3020">
      <w:pPr>
        <w:tabs>
          <w:tab w:val="left" w:pos="6420"/>
          <w:tab w:val="left" w:pos="6540"/>
        </w:tabs>
        <w:spacing w:line="480" w:lineRule="auto"/>
        <w:ind w:firstLine="709"/>
        <w:jc w:val="both"/>
        <w:rPr>
          <w:sz w:val="28"/>
          <w:szCs w:val="28"/>
        </w:rPr>
      </w:pPr>
      <w:r w:rsidRPr="004C3020">
        <w:rPr>
          <w:sz w:val="28"/>
          <w:szCs w:val="28"/>
        </w:rPr>
        <w:t>Abdülkadir Karahan, “Nev’i” İA.</w:t>
      </w:r>
    </w:p>
    <w:p w:rsidR="004C3020" w:rsidRPr="004C3020" w:rsidRDefault="004C3020" w:rsidP="004C3020">
      <w:pPr>
        <w:tabs>
          <w:tab w:val="left" w:pos="6420"/>
          <w:tab w:val="left" w:pos="6540"/>
        </w:tabs>
        <w:spacing w:line="480" w:lineRule="auto"/>
        <w:ind w:firstLine="709"/>
        <w:jc w:val="both"/>
        <w:rPr>
          <w:sz w:val="28"/>
          <w:szCs w:val="28"/>
        </w:rPr>
      </w:pPr>
      <w:r w:rsidRPr="004C3020">
        <w:rPr>
          <w:sz w:val="28"/>
          <w:szCs w:val="28"/>
        </w:rPr>
        <w:t>Nejat Sefercioğlu, “Nev’î”, TDVİA</w:t>
      </w:r>
    </w:p>
    <w:p w:rsidR="004C3020" w:rsidRPr="004C3020" w:rsidRDefault="004C3020" w:rsidP="004C3020">
      <w:pPr>
        <w:tabs>
          <w:tab w:val="left" w:pos="6420"/>
          <w:tab w:val="left" w:pos="6540"/>
        </w:tabs>
        <w:spacing w:line="480" w:lineRule="auto"/>
        <w:ind w:firstLine="709"/>
        <w:jc w:val="both"/>
        <w:rPr>
          <w:sz w:val="28"/>
          <w:szCs w:val="28"/>
        </w:rPr>
      </w:pPr>
      <w:r w:rsidRPr="004C3020">
        <w:rPr>
          <w:sz w:val="28"/>
          <w:szCs w:val="28"/>
        </w:rPr>
        <w:t>Hasibe Mazıoğlu, “Nev’î’nin Hayatı ve Kişiliği”, Journal of Turkish Studies, 28/1, 2004, s. 137-167.</w:t>
      </w:r>
    </w:p>
    <w:p w:rsidR="00156004" w:rsidRPr="004C3020" w:rsidRDefault="004C3020" w:rsidP="004C3020">
      <w:pPr>
        <w:spacing w:line="480" w:lineRule="auto"/>
        <w:rPr>
          <w:sz w:val="28"/>
          <w:szCs w:val="28"/>
        </w:rPr>
      </w:pPr>
      <w:r w:rsidRPr="004C3020">
        <w:rPr>
          <w:sz w:val="28"/>
          <w:szCs w:val="28"/>
        </w:rPr>
        <w:t>Abdülkadir Erkal, “Divan Edebiyatında Hazaniyye ve Nev’î’nin ‘Hazaniyye-i Latife’ İsimli Kasidesi”, Atatürk Üniv. Türkiyat Araştırmaları Enstitüsü Dergisi, S.18, Erzurum 2001, s. 107-152.</w:t>
      </w:r>
    </w:p>
    <w:sectPr w:rsidR="00156004" w:rsidRPr="004C3020" w:rsidSect="004C3020">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20"/>
    <w:rsid w:val="00156004"/>
    <w:rsid w:val="004C3020"/>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F5435-7EE1-4B60-89F8-7FE4BAB4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3020"/>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2020-05-10T16:08:00Z</dcterms:created>
  <dcterms:modified xsi:type="dcterms:W3CDTF">2020-05-10T16:09:00Z</dcterms:modified>
</cp:coreProperties>
</file>