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E9" w:rsidRPr="00CB48E9" w:rsidRDefault="00CB48E9" w:rsidP="00CB48E9">
      <w:pPr>
        <w:spacing w:before="120" w:line="480" w:lineRule="auto"/>
        <w:ind w:firstLine="709"/>
        <w:jc w:val="center"/>
        <w:rPr>
          <w:b/>
          <w:bCs/>
          <w:color w:val="000000"/>
          <w:sz w:val="28"/>
          <w:szCs w:val="28"/>
        </w:rPr>
      </w:pPr>
      <w:r w:rsidRPr="00CB48E9">
        <w:rPr>
          <w:b/>
          <w:bCs/>
          <w:color w:val="000000"/>
          <w:sz w:val="32"/>
          <w:szCs w:val="32"/>
        </w:rPr>
        <w:t>BAKİ (d. 1526/7-ö.1600)</w:t>
      </w:r>
    </w:p>
    <w:p w:rsidR="00CB48E9" w:rsidRPr="00CB48E9" w:rsidRDefault="00CB48E9" w:rsidP="00CB48E9">
      <w:pPr>
        <w:spacing w:line="480" w:lineRule="auto"/>
        <w:ind w:firstLine="709"/>
        <w:jc w:val="both"/>
        <w:rPr>
          <w:b/>
          <w:bCs/>
          <w:color w:val="000000"/>
          <w:sz w:val="28"/>
          <w:szCs w:val="28"/>
          <w:u w:val="single"/>
        </w:rPr>
      </w:pPr>
      <w:r w:rsidRPr="00CB48E9">
        <w:rPr>
          <w:b/>
          <w:bCs/>
          <w:color w:val="000000"/>
          <w:sz w:val="28"/>
          <w:szCs w:val="28"/>
          <w:u w:val="single"/>
        </w:rPr>
        <w:t>Kaynakça</w:t>
      </w:r>
    </w:p>
    <w:p w:rsidR="00CB48E9" w:rsidRPr="00CB48E9" w:rsidRDefault="00CB48E9" w:rsidP="00CB48E9">
      <w:pPr>
        <w:spacing w:line="480" w:lineRule="auto"/>
        <w:ind w:firstLine="709"/>
        <w:jc w:val="both"/>
        <w:rPr>
          <w:bCs/>
          <w:color w:val="000000"/>
          <w:sz w:val="28"/>
          <w:szCs w:val="28"/>
        </w:rPr>
      </w:pPr>
      <w:r w:rsidRPr="00CB48E9">
        <w:rPr>
          <w:bCs/>
          <w:color w:val="000000"/>
          <w:sz w:val="28"/>
          <w:szCs w:val="28"/>
        </w:rPr>
        <w:t xml:space="preserve">Haluk İpekten, </w:t>
      </w:r>
      <w:r w:rsidRPr="00CB48E9">
        <w:rPr>
          <w:bCs/>
          <w:i/>
          <w:color w:val="000000"/>
          <w:sz w:val="28"/>
          <w:szCs w:val="28"/>
        </w:rPr>
        <w:t>Baki: Hayatı Sanatı Eserleri</w:t>
      </w:r>
      <w:r w:rsidRPr="00CB48E9">
        <w:rPr>
          <w:bCs/>
          <w:color w:val="000000"/>
          <w:sz w:val="28"/>
          <w:szCs w:val="28"/>
        </w:rPr>
        <w:t>, Akçağ Yayınları Ankara, 1993.</w:t>
      </w:r>
    </w:p>
    <w:p w:rsidR="00CB48E9" w:rsidRPr="00CB48E9" w:rsidRDefault="00CB48E9" w:rsidP="00CB48E9">
      <w:pPr>
        <w:spacing w:line="480" w:lineRule="auto"/>
        <w:ind w:firstLine="709"/>
        <w:jc w:val="both"/>
        <w:rPr>
          <w:bCs/>
          <w:color w:val="000000"/>
          <w:sz w:val="28"/>
          <w:szCs w:val="28"/>
        </w:rPr>
      </w:pPr>
      <w:r w:rsidRPr="00CB48E9">
        <w:rPr>
          <w:bCs/>
          <w:color w:val="000000"/>
          <w:sz w:val="28"/>
          <w:szCs w:val="28"/>
        </w:rPr>
        <w:t>F. Köprülü, “Baki”, İA.</w:t>
      </w:r>
    </w:p>
    <w:p w:rsidR="00CB48E9" w:rsidRPr="00CB48E9" w:rsidRDefault="00CB48E9" w:rsidP="00CB48E9">
      <w:pPr>
        <w:spacing w:line="480" w:lineRule="auto"/>
        <w:ind w:firstLine="709"/>
        <w:jc w:val="both"/>
        <w:rPr>
          <w:bCs/>
          <w:color w:val="000000"/>
          <w:sz w:val="28"/>
          <w:szCs w:val="28"/>
        </w:rPr>
      </w:pPr>
      <w:r w:rsidRPr="00CB48E9">
        <w:rPr>
          <w:bCs/>
          <w:color w:val="000000"/>
          <w:sz w:val="28"/>
          <w:szCs w:val="28"/>
        </w:rPr>
        <w:t>M. Çavuşoğlu, “Baki”, TDVİA, C.4, s. 537-540.</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HAYATI</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Asıl adı Mahmud Abdülbaki’dir. </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İstanbul’da doğmuştur. </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İlk gençlik yıllarında saraç çıraklığı yapmıştır. </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Daha sonra medrese tahsiline yönelmiş, devrin tanınmış müderrislerinden </w:t>
      </w:r>
      <w:proofErr w:type="gramStart"/>
      <w:r w:rsidRPr="00CB48E9">
        <w:rPr>
          <w:sz w:val="28"/>
          <w:szCs w:val="28"/>
        </w:rPr>
        <w:t>Karamani</w:t>
      </w:r>
      <w:proofErr w:type="gramEnd"/>
      <w:r w:rsidRPr="00CB48E9">
        <w:rPr>
          <w:sz w:val="28"/>
          <w:szCs w:val="28"/>
        </w:rPr>
        <w:t xml:space="preserve">-zâde Ahmet ve Mehmed Efendi’ler ile Kadızâde Şemseddin Ahmed Efendi’den ders almıştır. </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Nev’î, Edirneli Mecdî, Hoca Sadeddin, Üsküplü Valihî gibi şahsiyetler onun medresede ders arkadaşlarıdır. </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lastRenderedPageBreak/>
        <w:t>Tahsilinin yanı sıra şiirle de yakından ilgilenen Baki, zamanının edebî şöhretleriyle tanışıp onlara nazireler yazarak bu konudaki kabiliyetini göstermeye çalışmıştır. Hatta Zati’nin Bayezid Camisi avlusundaki remilci dükkânına sık sık giderek şiirlerini onun tenkidine sunmuş, Zati’nin beğenisini kazanmıştır.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 xml:space="preserve">Hocası </w:t>
      </w:r>
      <w:proofErr w:type="gramStart"/>
      <w:r w:rsidRPr="00CB48E9">
        <w:rPr>
          <w:sz w:val="28"/>
          <w:szCs w:val="28"/>
        </w:rPr>
        <w:t>Karamani</w:t>
      </w:r>
      <w:proofErr w:type="gramEnd"/>
      <w:r w:rsidRPr="00CB48E9">
        <w:rPr>
          <w:sz w:val="28"/>
          <w:szCs w:val="28"/>
        </w:rPr>
        <w:t>-zâde Mehmed Efendi’ye yazdığı sünbül kasidesi ile şiirdeki yetkinliğini iyice kabul ettirmiştir.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Halep kadılığına tayin edilen hocası Kadızade Şemseddin Ahmed Efendi ile birlikte Halep’e giderek orada kadı naibliği (vekilliği) yapmıştır.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Medrese tahsilinden sonra çeşitli medreselerde müderrislikler, (Mekke, Medine ve İstanbul’da) kadılık, Anadolu ve Rumeli kazaskerliği gibi ilmiye mesleğinin en üst mertebelerine erişmiştir. Şeyhülislamlık mertebesinin tam eşiğine gelmişken bu makama erişemeden emekli olmuştur. Ancak bu makamı elde etmek hususundaki çaba ve umudunu yitirmemiş bu konu onun için bir hırsa dönüşmüştür. Bütün çabalarına rağmen bu makama bir türlü erişemeyişinden dolayı hasta düşmüş ve bu hastalığın ardından vefat etmiştir.</w:t>
      </w:r>
    </w:p>
    <w:p w:rsidR="00CB48E9" w:rsidRDefault="00CB48E9" w:rsidP="00CB48E9">
      <w:pPr>
        <w:tabs>
          <w:tab w:val="left" w:pos="6420"/>
          <w:tab w:val="left" w:pos="6540"/>
        </w:tabs>
        <w:spacing w:line="480" w:lineRule="auto"/>
        <w:ind w:firstLine="709"/>
        <w:jc w:val="both"/>
        <w:rPr>
          <w:b/>
          <w:sz w:val="28"/>
          <w:szCs w:val="28"/>
        </w:rPr>
      </w:pPr>
    </w:p>
    <w:p w:rsidR="00CB48E9" w:rsidRDefault="00CB48E9" w:rsidP="00CB48E9">
      <w:pPr>
        <w:tabs>
          <w:tab w:val="left" w:pos="6420"/>
          <w:tab w:val="left" w:pos="6540"/>
        </w:tabs>
        <w:spacing w:line="480" w:lineRule="auto"/>
        <w:ind w:firstLine="709"/>
        <w:jc w:val="both"/>
        <w:rPr>
          <w:b/>
          <w:sz w:val="28"/>
          <w:szCs w:val="28"/>
        </w:rPr>
      </w:pPr>
    </w:p>
    <w:p w:rsidR="00CB48E9" w:rsidRPr="00CB48E9" w:rsidRDefault="00CB48E9" w:rsidP="00CB48E9">
      <w:pPr>
        <w:tabs>
          <w:tab w:val="left" w:pos="6420"/>
          <w:tab w:val="left" w:pos="6540"/>
        </w:tabs>
        <w:spacing w:line="480" w:lineRule="auto"/>
        <w:ind w:firstLine="709"/>
        <w:jc w:val="both"/>
        <w:rPr>
          <w:b/>
          <w:sz w:val="28"/>
          <w:szCs w:val="28"/>
        </w:rPr>
      </w:pPr>
      <w:bookmarkStart w:id="0" w:name="_GoBack"/>
      <w:bookmarkEnd w:id="0"/>
      <w:r w:rsidRPr="00CB48E9">
        <w:rPr>
          <w:b/>
          <w:sz w:val="28"/>
          <w:szCs w:val="28"/>
        </w:rPr>
        <w:lastRenderedPageBreak/>
        <w:t>EDEBİ KİŞİLİĞİ</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Bakî başta Kanuni olmak üzere 16 yüzyılda hüküm süren dört padişah (II. Selim, III. Murad, III. Mehmed) döneminin en büyük şairi olarak tanınmış, “sultanü’ş-şuarâ” ünvanı verilmiştir.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Şiirlerinden ve hakkında yazılan kaynaklardan onun, yaşamayı seven, zevk ve eğlenceye düşkün, rind-meşrep, neşeli ve coşkun kişiliği ile epiküryen bir hayat görüşüne sahip olduğu anlaşılır. Bu bakımdan 18. yüzyıl şairi Nedim’e benzer. Ancak yükselme hırsı ve bu hırs uğruna türlü yollar arama özelliği kişiliğinin diğer bir yönüdür. Bu nedenle gençliğinden itibaren bütün zekâsını ve şiirdeki ustalığını ilmiye mesleğinde yüksek makamlar elde etmek uğruna kullanmıştır.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Devrinde Fuzuli gibi bir şairin bile gölgeleyemediği, Hayali gibi başka bir büyük şairin hak ettiği üne kavuşamamasında etken olan Bakî, bu başarıyı bilgi ve geniş kültürünü şairlik yeteneği ile birleştirerek elde etmiştir.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Bâkî çok sayıda başarılı kaside yazmış olmasına karşılık gazel şairi sayılmıştır.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Benimsediği hayat görüşü dolayısıyla, şiirlerinde hemen hemen tasavvufa rastlanmaz. Hatta hemen her büyük şairin divanında bulunan tevhid, münacat ve na’t gibi dinî şiirler onun divanında yoktur. Buna karşılık, dış dünyanın gerçeklerini, tabiatı, devrinin ihtişamlı yaşamını ve zaferlerle sonuçlanan savaşlarını adetâ bir tablo gibi canlı ve renkli bir biçimde anlatmıştır.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lastRenderedPageBreak/>
        <w:t>Bâkî, şiirlerinde nazım tekniğini son derece başarı ile uygulamış böylece kusursuz bir şekil mükemmelliği yaratmıştır. Dolayısıyla onun şiirlerinde aruz, kafiye/redif, söz ve anlam sanatları ve ses tekrarları ile sağlanan ahenk mükemmelliği, büyük şair oluşunda en önemli unsurdur. Şiir dilini ustalıkla kullanan Bakî’nin şiirlerinde çizdiği hayaller de son derece zariftir. Dolayısıyla hüsn-i ta’lil ve tevriye en sık kullandığı sanatlardır.</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Kısacası Bâkî yaşadığı çağda ve sonrasında şiir dilini ustalıkla kullanarak söyleyiş tarzında yenilik yaratmış bir şair olarak kabul edilmiştir.</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ESERLERİ</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1. DİVAN</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Baki Divanı’nın 4 baskısı yapılmıştır.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b/>
          <w:sz w:val="28"/>
          <w:szCs w:val="28"/>
        </w:rPr>
        <w:t>a. Divan-ı Baki:</w:t>
      </w:r>
      <w:r w:rsidRPr="00CB48E9">
        <w:rPr>
          <w:sz w:val="28"/>
          <w:szCs w:val="28"/>
        </w:rPr>
        <w:t xml:space="preserve"> İstanbul’da H. 1276’da pek çok şiir eksik olmak üzere, kötü bir kâğıda taşbasması olarak basılmıştır.</w:t>
      </w:r>
    </w:p>
    <w:p w:rsidR="00CB48E9" w:rsidRPr="00CB48E9" w:rsidRDefault="00CB48E9" w:rsidP="00CB48E9">
      <w:pPr>
        <w:tabs>
          <w:tab w:val="left" w:pos="6420"/>
          <w:tab w:val="left" w:pos="6540"/>
        </w:tabs>
        <w:spacing w:line="480" w:lineRule="auto"/>
        <w:ind w:firstLine="709"/>
        <w:jc w:val="both"/>
        <w:rPr>
          <w:sz w:val="28"/>
          <w:szCs w:val="28"/>
        </w:rPr>
      </w:pPr>
      <w:r w:rsidRPr="00CB48E9">
        <w:rPr>
          <w:b/>
          <w:sz w:val="28"/>
          <w:szCs w:val="28"/>
        </w:rPr>
        <w:t>b.</w:t>
      </w:r>
      <w:r w:rsidRPr="00CB48E9">
        <w:rPr>
          <w:sz w:val="28"/>
          <w:szCs w:val="28"/>
        </w:rPr>
        <w:t xml:space="preserve"> </w:t>
      </w:r>
      <w:r w:rsidRPr="00CB48E9">
        <w:rPr>
          <w:b/>
          <w:sz w:val="28"/>
          <w:szCs w:val="28"/>
        </w:rPr>
        <w:t>Bâkî’s Divan: Ghazelijjat:</w:t>
      </w:r>
      <w:r w:rsidRPr="00CB48E9">
        <w:rPr>
          <w:sz w:val="28"/>
          <w:szCs w:val="28"/>
        </w:rPr>
        <w:t xml:space="preserve"> Yayınlayan: Ord Prof. Dr. Rudolf Dvorak, Leiden, 1911.</w:t>
      </w:r>
    </w:p>
    <w:p w:rsidR="00CB48E9" w:rsidRPr="00CB48E9" w:rsidRDefault="00CB48E9" w:rsidP="00CB48E9">
      <w:pPr>
        <w:tabs>
          <w:tab w:val="left" w:pos="6420"/>
          <w:tab w:val="left" w:pos="6540"/>
        </w:tabs>
        <w:spacing w:line="480" w:lineRule="auto"/>
        <w:ind w:firstLine="709"/>
        <w:jc w:val="both"/>
        <w:rPr>
          <w:sz w:val="28"/>
          <w:szCs w:val="28"/>
        </w:rPr>
      </w:pPr>
      <w:r w:rsidRPr="00CB48E9">
        <w:rPr>
          <w:b/>
          <w:sz w:val="28"/>
          <w:szCs w:val="28"/>
        </w:rPr>
        <w:t>c. S. Nüzhet Ergun,</w:t>
      </w:r>
      <w:r w:rsidRPr="00CB48E9">
        <w:rPr>
          <w:sz w:val="28"/>
          <w:szCs w:val="28"/>
        </w:rPr>
        <w:t xml:space="preserve"> Bâkî Hayatı ve Şiirleri, C.1. Divan, İstanbul, 1935.</w:t>
      </w:r>
    </w:p>
    <w:p w:rsidR="00CB48E9" w:rsidRPr="00CB48E9" w:rsidRDefault="00CB48E9" w:rsidP="00CB48E9">
      <w:pPr>
        <w:tabs>
          <w:tab w:val="left" w:pos="6420"/>
          <w:tab w:val="left" w:pos="6540"/>
        </w:tabs>
        <w:spacing w:line="480" w:lineRule="auto"/>
        <w:ind w:firstLine="709"/>
        <w:jc w:val="both"/>
        <w:rPr>
          <w:sz w:val="28"/>
          <w:szCs w:val="28"/>
        </w:rPr>
      </w:pPr>
      <w:r w:rsidRPr="00CB48E9">
        <w:rPr>
          <w:b/>
          <w:sz w:val="28"/>
          <w:szCs w:val="28"/>
        </w:rPr>
        <w:t>ç. Sabahattin Küçük,</w:t>
      </w:r>
      <w:r w:rsidRPr="00CB48E9">
        <w:rPr>
          <w:sz w:val="28"/>
          <w:szCs w:val="28"/>
        </w:rPr>
        <w:t xml:space="preserve"> Baki Divanı (Tenkitli Basım), TDK Yay., Ankara, 1994.</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lastRenderedPageBreak/>
        <w:t>2. MEVÂHİBÜ’L-LEDÜNNİYE</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Arapça’dan çevrilmiş mensur bir siyerdir. Bâkî, aslı Şâfi’î mezhebi inanış ve usullerine göre yazılmış olan bu eseri, Hanefi mezhebi esaslarına göre değiştirmiştir.</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3. FEZÂ’İL-İ CİHÂD</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İslam askerlerini cihada teşvik eden bu eser de Arapça’dan çeviridir.</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4.</w:t>
      </w:r>
      <w:r w:rsidRPr="00CB48E9">
        <w:rPr>
          <w:sz w:val="28"/>
          <w:szCs w:val="28"/>
        </w:rPr>
        <w:t xml:space="preserve"> </w:t>
      </w:r>
      <w:r w:rsidRPr="00CB48E9">
        <w:rPr>
          <w:b/>
          <w:sz w:val="28"/>
          <w:szCs w:val="28"/>
        </w:rPr>
        <w:t>FEZÂ’İL-İ MEKKE</w:t>
      </w:r>
    </w:p>
    <w:p w:rsidR="00CB48E9" w:rsidRPr="00CB48E9" w:rsidRDefault="00CB48E9" w:rsidP="00CB48E9">
      <w:pPr>
        <w:tabs>
          <w:tab w:val="left" w:pos="6420"/>
          <w:tab w:val="left" w:pos="6540"/>
        </w:tabs>
        <w:spacing w:line="480" w:lineRule="auto"/>
        <w:ind w:firstLine="709"/>
        <w:jc w:val="both"/>
        <w:rPr>
          <w:sz w:val="28"/>
          <w:szCs w:val="28"/>
        </w:rPr>
      </w:pPr>
      <w:r w:rsidRPr="00CB48E9">
        <w:rPr>
          <w:sz w:val="28"/>
          <w:szCs w:val="28"/>
        </w:rPr>
        <w:t>Mekke tarihi ve Osmanlı padişahlarının Mekke’de yaptırdığı eserlerden söz eden bu eser de Arapça’dan çeviridir.</w:t>
      </w:r>
    </w:p>
    <w:p w:rsidR="00CB48E9" w:rsidRPr="00CB48E9" w:rsidRDefault="00CB48E9" w:rsidP="00CB48E9">
      <w:pPr>
        <w:tabs>
          <w:tab w:val="left" w:pos="6420"/>
          <w:tab w:val="left" w:pos="6540"/>
        </w:tabs>
        <w:spacing w:line="480" w:lineRule="auto"/>
        <w:ind w:firstLine="709"/>
        <w:jc w:val="both"/>
        <w:rPr>
          <w:b/>
          <w:sz w:val="28"/>
          <w:szCs w:val="28"/>
        </w:rPr>
      </w:pPr>
      <w:r w:rsidRPr="00CB48E9">
        <w:rPr>
          <w:b/>
          <w:sz w:val="28"/>
          <w:szCs w:val="28"/>
        </w:rPr>
        <w:t>5. TERCEME-İ HADİS-İ ERBAİN</w:t>
      </w:r>
    </w:p>
    <w:p w:rsidR="00156004" w:rsidRPr="00CB48E9" w:rsidRDefault="00CB48E9" w:rsidP="00CB48E9">
      <w:pPr>
        <w:spacing w:line="480" w:lineRule="auto"/>
        <w:rPr>
          <w:sz w:val="28"/>
          <w:szCs w:val="28"/>
        </w:rPr>
      </w:pPr>
      <w:r w:rsidRPr="00CB48E9">
        <w:rPr>
          <w:sz w:val="28"/>
          <w:szCs w:val="28"/>
        </w:rPr>
        <w:t>Henüz ele geçmemiş bir eser olup, Atâî Şakaik Zeylinde söz etmiştir.</w:t>
      </w:r>
    </w:p>
    <w:sectPr w:rsidR="00156004" w:rsidRPr="00CB48E9" w:rsidSect="00CB48E9">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E9"/>
    <w:rsid w:val="00156004"/>
    <w:rsid w:val="00764A60"/>
    <w:rsid w:val="00B83C82"/>
    <w:rsid w:val="00CB48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A990"/>
  <w15:chartTrackingRefBased/>
  <w15:docId w15:val="{938BD18E-6385-4F55-9067-36842753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8E9"/>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2020-05-10T16:09:00Z</dcterms:created>
  <dcterms:modified xsi:type="dcterms:W3CDTF">2020-05-10T16:10:00Z</dcterms:modified>
</cp:coreProperties>
</file>