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A30" w:rsidRPr="008E3A30" w:rsidRDefault="008E3A30" w:rsidP="008E3A30">
      <w:pPr>
        <w:spacing w:before="120" w:line="480" w:lineRule="auto"/>
        <w:ind w:firstLine="709"/>
        <w:jc w:val="both"/>
        <w:rPr>
          <w:b/>
          <w:sz w:val="28"/>
          <w:szCs w:val="28"/>
        </w:rPr>
      </w:pPr>
      <w:r w:rsidRPr="008E3A30">
        <w:rPr>
          <w:b/>
          <w:sz w:val="32"/>
          <w:szCs w:val="32"/>
        </w:rPr>
        <w:t>NEV’İ-ZADE ATAYİ (öl.1635)</w:t>
      </w:r>
    </w:p>
    <w:p w:rsidR="008E3A30" w:rsidRPr="008E3A30" w:rsidRDefault="008E3A30" w:rsidP="008E3A30">
      <w:pPr>
        <w:spacing w:before="120" w:line="480" w:lineRule="auto"/>
        <w:ind w:firstLine="709"/>
        <w:jc w:val="both"/>
        <w:rPr>
          <w:sz w:val="28"/>
          <w:szCs w:val="28"/>
        </w:rPr>
      </w:pPr>
      <w:r w:rsidRPr="008E3A30">
        <w:rPr>
          <w:sz w:val="28"/>
          <w:szCs w:val="28"/>
        </w:rPr>
        <w:t>A.Karahan, “Nev’î-zâde Atâ’î”, İA., C.9, s.226-228.</w:t>
      </w:r>
    </w:p>
    <w:p w:rsidR="008E3A30" w:rsidRPr="008E3A30" w:rsidRDefault="008E3A30" w:rsidP="008E3A30">
      <w:pPr>
        <w:spacing w:line="480" w:lineRule="auto"/>
        <w:ind w:firstLine="709"/>
        <w:jc w:val="both"/>
        <w:rPr>
          <w:sz w:val="28"/>
          <w:szCs w:val="28"/>
        </w:rPr>
      </w:pPr>
      <w:r w:rsidRPr="008E3A30">
        <w:rPr>
          <w:sz w:val="28"/>
          <w:szCs w:val="28"/>
        </w:rPr>
        <w:t>Haluk İpekten, “Atâî, Nev’îzâde”, TDVİA, C.4, s. 40-42.</w:t>
      </w:r>
    </w:p>
    <w:p w:rsidR="008E3A30" w:rsidRPr="008E3A30" w:rsidRDefault="008E3A30" w:rsidP="008E3A30">
      <w:pPr>
        <w:spacing w:line="480" w:lineRule="auto"/>
        <w:ind w:firstLine="709"/>
        <w:jc w:val="both"/>
        <w:rPr>
          <w:b/>
          <w:sz w:val="28"/>
          <w:szCs w:val="28"/>
        </w:rPr>
      </w:pPr>
      <w:r w:rsidRPr="008E3A30">
        <w:rPr>
          <w:b/>
          <w:sz w:val="32"/>
          <w:szCs w:val="32"/>
        </w:rPr>
        <w:t>ESERLERİ</w:t>
      </w:r>
    </w:p>
    <w:p w:rsidR="008E3A30" w:rsidRPr="008E3A30" w:rsidRDefault="008E3A30" w:rsidP="008E3A30">
      <w:pPr>
        <w:spacing w:line="480" w:lineRule="auto"/>
        <w:ind w:firstLine="709"/>
        <w:jc w:val="both"/>
        <w:rPr>
          <w:b/>
          <w:sz w:val="28"/>
          <w:szCs w:val="28"/>
        </w:rPr>
      </w:pPr>
      <w:r w:rsidRPr="008E3A30">
        <w:rPr>
          <w:b/>
          <w:sz w:val="28"/>
          <w:szCs w:val="28"/>
        </w:rPr>
        <w:t>1.DİVAN</w:t>
      </w:r>
    </w:p>
    <w:p w:rsidR="008E3A30" w:rsidRPr="008E3A30" w:rsidRDefault="008E3A30" w:rsidP="008E3A30">
      <w:pPr>
        <w:spacing w:line="480" w:lineRule="auto"/>
        <w:ind w:firstLine="709"/>
        <w:jc w:val="both"/>
        <w:rPr>
          <w:color w:val="000000"/>
          <w:sz w:val="28"/>
          <w:szCs w:val="28"/>
        </w:rPr>
      </w:pPr>
      <w:r w:rsidRPr="008E3A30">
        <w:rPr>
          <w:sz w:val="28"/>
          <w:szCs w:val="28"/>
        </w:rPr>
        <w:t xml:space="preserve">Saadet Karaköse, </w:t>
      </w:r>
      <w:r w:rsidRPr="008E3A30">
        <w:rPr>
          <w:rStyle w:val="Vurgu"/>
          <w:color w:val="000000"/>
          <w:sz w:val="28"/>
          <w:szCs w:val="28"/>
        </w:rPr>
        <w:t>Nevizâde Atâyî Divânı</w:t>
      </w:r>
      <w:r w:rsidRPr="008E3A30">
        <w:rPr>
          <w:color w:val="000000"/>
          <w:sz w:val="28"/>
          <w:szCs w:val="28"/>
        </w:rPr>
        <w:t xml:space="preserve"> Kısmî Tahlil-Metin, (Yayımlanmamış Doktora Tezi), İnönü Üniversitesi SBE, Malatya 1994.</w:t>
      </w:r>
    </w:p>
    <w:p w:rsidR="008E3A30" w:rsidRPr="008E3A30" w:rsidRDefault="008E3A30" w:rsidP="008E3A30">
      <w:pPr>
        <w:spacing w:line="480" w:lineRule="auto"/>
        <w:ind w:firstLine="709"/>
        <w:jc w:val="both"/>
        <w:rPr>
          <w:b/>
          <w:color w:val="000000"/>
          <w:sz w:val="28"/>
          <w:szCs w:val="28"/>
        </w:rPr>
      </w:pPr>
      <w:r w:rsidRPr="008E3A30">
        <w:rPr>
          <w:b/>
          <w:color w:val="000000"/>
          <w:sz w:val="28"/>
          <w:szCs w:val="28"/>
        </w:rPr>
        <w:t>2. HAMSE</w:t>
      </w:r>
    </w:p>
    <w:p w:rsidR="008E3A30" w:rsidRPr="008E3A30" w:rsidRDefault="008E3A30" w:rsidP="008E3A30">
      <w:pPr>
        <w:spacing w:line="480" w:lineRule="auto"/>
        <w:ind w:firstLine="709"/>
        <w:jc w:val="both"/>
        <w:rPr>
          <w:sz w:val="28"/>
          <w:szCs w:val="28"/>
        </w:rPr>
      </w:pPr>
      <w:r w:rsidRPr="008E3A30">
        <w:rPr>
          <w:sz w:val="28"/>
          <w:szCs w:val="28"/>
        </w:rPr>
        <w:t>Şair, hamsesindeki mesnevilerde çok kullanılmış konular yerine yeni konuları ele almıştır. Yer yer mahallî hayatı, halkın yaşayış ve geleneklerini dile getirmiş, özellikle İstanbul’un değişik manzaralarını ve güzelliklerine de yer verdiği gibi hikâyeler içinde kimi gerçek olaylardan da söz etmiştir. Bu bakımdan hamsesi önemlidir.</w:t>
      </w:r>
    </w:p>
    <w:p w:rsidR="008E3A30" w:rsidRPr="008E3A30" w:rsidRDefault="008E3A30" w:rsidP="008E3A30">
      <w:pPr>
        <w:spacing w:line="480" w:lineRule="auto"/>
        <w:ind w:firstLine="709"/>
        <w:jc w:val="both"/>
        <w:rPr>
          <w:sz w:val="28"/>
          <w:szCs w:val="28"/>
        </w:rPr>
      </w:pPr>
      <w:r w:rsidRPr="008E3A30">
        <w:rPr>
          <w:sz w:val="28"/>
          <w:szCs w:val="28"/>
        </w:rPr>
        <w:t xml:space="preserve">Tunca Kortantamer, </w:t>
      </w:r>
      <w:r w:rsidRPr="008E3A30">
        <w:rPr>
          <w:b/>
          <w:sz w:val="28"/>
          <w:szCs w:val="28"/>
        </w:rPr>
        <w:t>Nev’i-zâde Atayi ve Hamsesi</w:t>
      </w:r>
      <w:r w:rsidRPr="008E3A30">
        <w:rPr>
          <w:sz w:val="28"/>
          <w:szCs w:val="28"/>
        </w:rPr>
        <w:t>, Ege Üniversitesi Edebiyat Fakültesi Yayınları, İzmir, 1997.</w:t>
      </w:r>
    </w:p>
    <w:p w:rsidR="008E3A30" w:rsidRPr="008E3A30" w:rsidRDefault="008E3A30" w:rsidP="008E3A30">
      <w:pPr>
        <w:spacing w:line="480" w:lineRule="auto"/>
        <w:ind w:firstLine="709"/>
        <w:jc w:val="both"/>
        <w:rPr>
          <w:b/>
          <w:sz w:val="28"/>
          <w:szCs w:val="28"/>
        </w:rPr>
      </w:pPr>
      <w:r w:rsidRPr="008E3A30">
        <w:rPr>
          <w:b/>
          <w:sz w:val="28"/>
          <w:szCs w:val="28"/>
        </w:rPr>
        <w:t>Âlem-nümâ (Sâkî-nâme)</w:t>
      </w:r>
    </w:p>
    <w:p w:rsidR="008E3A30" w:rsidRPr="008E3A30" w:rsidRDefault="008E3A30" w:rsidP="008E3A30">
      <w:pPr>
        <w:spacing w:line="480" w:lineRule="auto"/>
        <w:ind w:firstLine="709"/>
        <w:jc w:val="both"/>
        <w:rPr>
          <w:sz w:val="28"/>
          <w:szCs w:val="28"/>
        </w:rPr>
      </w:pPr>
      <w:r w:rsidRPr="008E3A30">
        <w:rPr>
          <w:b/>
          <w:sz w:val="28"/>
          <w:szCs w:val="28"/>
        </w:rPr>
        <w:lastRenderedPageBreak/>
        <w:t>Nefhatü’l-Ezhâr</w:t>
      </w:r>
      <w:r w:rsidRPr="008E3A30">
        <w:rPr>
          <w:sz w:val="28"/>
          <w:szCs w:val="28"/>
        </w:rPr>
        <w:t xml:space="preserve"> (Nizami’nin </w:t>
      </w:r>
      <w:r w:rsidRPr="008E3A30">
        <w:rPr>
          <w:i/>
          <w:sz w:val="28"/>
          <w:szCs w:val="28"/>
        </w:rPr>
        <w:t>Mahzenü’l-Esrâr</w:t>
      </w:r>
      <w:r w:rsidRPr="008E3A30">
        <w:rPr>
          <w:sz w:val="28"/>
          <w:szCs w:val="28"/>
        </w:rPr>
        <w:t>’ına nazire)</w:t>
      </w:r>
    </w:p>
    <w:p w:rsidR="008E3A30" w:rsidRPr="008E3A30" w:rsidRDefault="008E3A30" w:rsidP="008E3A30">
      <w:pPr>
        <w:spacing w:line="480" w:lineRule="auto"/>
        <w:ind w:firstLine="709"/>
        <w:jc w:val="both"/>
        <w:rPr>
          <w:sz w:val="28"/>
          <w:szCs w:val="28"/>
        </w:rPr>
      </w:pPr>
      <w:r w:rsidRPr="008E3A30">
        <w:rPr>
          <w:b/>
          <w:sz w:val="28"/>
          <w:szCs w:val="28"/>
        </w:rPr>
        <w:t>Sohbetü’l-Ebkâr</w:t>
      </w:r>
      <w:r w:rsidRPr="008E3A30">
        <w:rPr>
          <w:sz w:val="28"/>
          <w:szCs w:val="28"/>
        </w:rPr>
        <w:t xml:space="preserve"> (Molla Cami’nin </w:t>
      </w:r>
      <w:r w:rsidRPr="008E3A30">
        <w:rPr>
          <w:i/>
          <w:sz w:val="28"/>
          <w:szCs w:val="28"/>
        </w:rPr>
        <w:t>Subhatü’l-Ebrâr’</w:t>
      </w:r>
      <w:r w:rsidRPr="008E3A30">
        <w:rPr>
          <w:sz w:val="28"/>
          <w:szCs w:val="28"/>
        </w:rPr>
        <w:t>ından etkilenmiş. Son bölümde Nasreddin Hoca hikâyelerine yer vermiştir.)</w:t>
      </w:r>
    </w:p>
    <w:p w:rsidR="008E3A30" w:rsidRPr="008E3A30" w:rsidRDefault="008E3A30" w:rsidP="008E3A30">
      <w:pPr>
        <w:spacing w:line="480" w:lineRule="auto"/>
        <w:ind w:firstLine="709"/>
        <w:jc w:val="both"/>
        <w:rPr>
          <w:sz w:val="28"/>
          <w:szCs w:val="28"/>
        </w:rPr>
      </w:pPr>
      <w:r w:rsidRPr="008E3A30">
        <w:rPr>
          <w:b/>
          <w:sz w:val="28"/>
          <w:szCs w:val="28"/>
        </w:rPr>
        <w:t>Heft-Hân</w:t>
      </w:r>
      <w:r w:rsidRPr="008E3A30">
        <w:rPr>
          <w:sz w:val="28"/>
          <w:szCs w:val="28"/>
        </w:rPr>
        <w:t xml:space="preserve"> (Nizami’nin </w:t>
      </w:r>
      <w:r w:rsidRPr="008E3A30">
        <w:rPr>
          <w:i/>
          <w:sz w:val="28"/>
          <w:szCs w:val="28"/>
        </w:rPr>
        <w:t>Heft-peyker</w:t>
      </w:r>
      <w:r w:rsidRPr="008E3A30">
        <w:rPr>
          <w:sz w:val="28"/>
          <w:szCs w:val="28"/>
        </w:rPr>
        <w:t>’ine nazire)</w:t>
      </w:r>
    </w:p>
    <w:p w:rsidR="008E3A30" w:rsidRPr="008E3A30" w:rsidRDefault="008E3A30" w:rsidP="008E3A30">
      <w:pPr>
        <w:spacing w:line="480" w:lineRule="auto"/>
        <w:ind w:firstLine="709"/>
        <w:jc w:val="both"/>
        <w:rPr>
          <w:sz w:val="28"/>
          <w:szCs w:val="28"/>
        </w:rPr>
      </w:pPr>
      <w:r w:rsidRPr="008E3A30">
        <w:rPr>
          <w:sz w:val="28"/>
          <w:szCs w:val="28"/>
        </w:rPr>
        <w:t xml:space="preserve">Turgut Karacan, </w:t>
      </w:r>
      <w:r w:rsidRPr="008E3A30">
        <w:rPr>
          <w:b/>
          <w:i/>
          <w:sz w:val="28"/>
          <w:szCs w:val="28"/>
        </w:rPr>
        <w:t>Atâî’nin Heft-hân’ı</w:t>
      </w:r>
      <w:r w:rsidRPr="008E3A30">
        <w:rPr>
          <w:sz w:val="28"/>
          <w:szCs w:val="28"/>
        </w:rPr>
        <w:t xml:space="preserve"> (İnceleme-Metin), Ankara, 1974.</w:t>
      </w:r>
    </w:p>
    <w:p w:rsidR="008E3A30" w:rsidRPr="008E3A30" w:rsidRDefault="008E3A30" w:rsidP="008E3A30">
      <w:pPr>
        <w:spacing w:line="480" w:lineRule="auto"/>
        <w:ind w:firstLine="709"/>
        <w:jc w:val="both"/>
        <w:rPr>
          <w:b/>
          <w:sz w:val="28"/>
          <w:szCs w:val="28"/>
        </w:rPr>
      </w:pPr>
      <w:r w:rsidRPr="008E3A30">
        <w:rPr>
          <w:b/>
          <w:sz w:val="28"/>
          <w:szCs w:val="28"/>
        </w:rPr>
        <w:t>Hilyetü’l-Efkâr</w:t>
      </w:r>
    </w:p>
    <w:p w:rsidR="008E3A30" w:rsidRPr="008E3A30" w:rsidRDefault="008E3A30" w:rsidP="008E3A30">
      <w:pPr>
        <w:spacing w:line="480" w:lineRule="auto"/>
        <w:ind w:firstLine="709"/>
        <w:jc w:val="both"/>
        <w:rPr>
          <w:sz w:val="28"/>
          <w:szCs w:val="28"/>
        </w:rPr>
      </w:pPr>
      <w:r w:rsidRPr="008E3A30">
        <w:rPr>
          <w:sz w:val="28"/>
          <w:szCs w:val="28"/>
        </w:rPr>
        <w:t>A.Sırrı Levend, Atâî’nin Hilyetü’l-efkâr’ı, Ankara, 1948. (</w:t>
      </w:r>
      <w:r w:rsidRPr="008E3A30">
        <w:rPr>
          <w:sz w:val="28"/>
          <w:szCs w:val="28"/>
          <w:u w:val="single"/>
        </w:rPr>
        <w:t>eksik bir nüsha</w:t>
      </w:r>
      <w:r w:rsidRPr="008E3A30">
        <w:rPr>
          <w:sz w:val="28"/>
          <w:szCs w:val="28"/>
        </w:rPr>
        <w:t>)</w:t>
      </w:r>
    </w:p>
    <w:p w:rsidR="008E3A30" w:rsidRPr="008E3A30" w:rsidRDefault="008E3A30" w:rsidP="008E3A30">
      <w:pPr>
        <w:spacing w:before="120" w:line="480" w:lineRule="auto"/>
        <w:ind w:firstLine="709"/>
        <w:jc w:val="both"/>
        <w:rPr>
          <w:b/>
          <w:sz w:val="28"/>
          <w:szCs w:val="28"/>
        </w:rPr>
      </w:pPr>
      <w:r w:rsidRPr="008E3A30">
        <w:rPr>
          <w:b/>
          <w:sz w:val="28"/>
          <w:szCs w:val="28"/>
        </w:rPr>
        <w:t>3.Hadâ’iku’l-Hakâ’ik fî Tekmileti’ş-Şakâ’ik (Zeyl-i Şakâ’ik veya Zeyl-i Atâî)</w:t>
      </w:r>
    </w:p>
    <w:p w:rsidR="008E3A30" w:rsidRPr="008E3A30" w:rsidRDefault="008E3A30" w:rsidP="008E3A30">
      <w:pPr>
        <w:spacing w:before="120" w:line="480" w:lineRule="auto"/>
        <w:ind w:firstLine="709"/>
        <w:jc w:val="both"/>
        <w:rPr>
          <w:sz w:val="28"/>
          <w:szCs w:val="28"/>
        </w:rPr>
      </w:pPr>
      <w:r w:rsidRPr="008E3A30">
        <w:rPr>
          <w:sz w:val="28"/>
          <w:szCs w:val="28"/>
        </w:rPr>
        <w:t>Atâî’nin bu mensur eseri Taşköprîzâde’nin eş-Şakâ’iku’n-Nu’mâniyye adlı Arapça eserinin Türkçe zeylidir. 1558 ve 1634 yılları arasını kapsayan 76 yıllık sürede Osmanlı Devleti sınırları içinde yetişen şeyhler, ilim adamları ve şairlerin biyografileri hakkında bilgi verir. Söz konusu eserin en önemli zeyllerindendir.</w:t>
      </w:r>
    </w:p>
    <w:p w:rsidR="008E3A30" w:rsidRPr="008E3A30" w:rsidRDefault="008E3A30" w:rsidP="008E3A30">
      <w:pPr>
        <w:autoSpaceDE w:val="0"/>
        <w:autoSpaceDN w:val="0"/>
        <w:adjustRightInd w:val="0"/>
        <w:spacing w:line="480" w:lineRule="auto"/>
        <w:ind w:firstLine="709"/>
        <w:jc w:val="both"/>
        <w:rPr>
          <w:sz w:val="28"/>
          <w:szCs w:val="28"/>
        </w:rPr>
      </w:pPr>
      <w:r w:rsidRPr="008E3A30">
        <w:rPr>
          <w:i/>
          <w:iCs/>
          <w:sz w:val="28"/>
          <w:szCs w:val="28"/>
        </w:rPr>
        <w:t>Şakâ’ikû’n-nu‘mânîye</w:t>
      </w:r>
      <w:r w:rsidRPr="008E3A30">
        <w:rPr>
          <w:sz w:val="28"/>
          <w:szCs w:val="28"/>
        </w:rPr>
        <w:t>’nin tercümeleri ve zeyillerinin başlıcaları, kapsamlı bir indeks eşliğinde yayımlanmıştır.</w:t>
      </w:r>
    </w:p>
    <w:p w:rsidR="008E3A30" w:rsidRPr="008E3A30" w:rsidRDefault="008E3A30" w:rsidP="008E3A30">
      <w:pPr>
        <w:autoSpaceDE w:val="0"/>
        <w:autoSpaceDN w:val="0"/>
        <w:adjustRightInd w:val="0"/>
        <w:spacing w:line="480" w:lineRule="auto"/>
        <w:ind w:firstLine="709"/>
        <w:jc w:val="both"/>
        <w:rPr>
          <w:sz w:val="28"/>
          <w:szCs w:val="28"/>
        </w:rPr>
      </w:pPr>
      <w:r w:rsidRPr="008E3A30">
        <w:rPr>
          <w:i/>
          <w:iCs/>
          <w:sz w:val="28"/>
          <w:szCs w:val="28"/>
        </w:rPr>
        <w:t xml:space="preserve">Hadâ’îkü’l–hakâ’ik fî tekmileti’ş-sakâ’ik, Şakaik-i Nu’maniye ve Zeyilleri, </w:t>
      </w:r>
      <w:r w:rsidRPr="008E3A30">
        <w:rPr>
          <w:sz w:val="28"/>
          <w:szCs w:val="28"/>
        </w:rPr>
        <w:t>I-V, (1989), (Haz. Abdülkadir Özcan), İstanbul.</w:t>
      </w:r>
    </w:p>
    <w:p w:rsidR="008E3A30" w:rsidRPr="008E3A30" w:rsidRDefault="008E3A30" w:rsidP="008E3A30">
      <w:pPr>
        <w:autoSpaceDE w:val="0"/>
        <w:autoSpaceDN w:val="0"/>
        <w:adjustRightInd w:val="0"/>
        <w:spacing w:line="480" w:lineRule="auto"/>
        <w:ind w:firstLine="709"/>
        <w:jc w:val="both"/>
        <w:rPr>
          <w:b/>
          <w:sz w:val="28"/>
          <w:szCs w:val="28"/>
        </w:rPr>
      </w:pPr>
      <w:bookmarkStart w:id="0" w:name="_GoBack"/>
      <w:r w:rsidRPr="008E3A30">
        <w:rPr>
          <w:b/>
          <w:sz w:val="32"/>
          <w:szCs w:val="32"/>
        </w:rPr>
        <w:lastRenderedPageBreak/>
        <w:t>ŞEYHÜLİSLAM YAHYA (öl.1644)</w:t>
      </w:r>
      <w:bookmarkEnd w:id="0"/>
    </w:p>
    <w:p w:rsidR="008E3A30" w:rsidRPr="008E3A30" w:rsidRDefault="008E3A30" w:rsidP="008E3A30">
      <w:pPr>
        <w:spacing w:before="120" w:line="480" w:lineRule="auto"/>
        <w:ind w:firstLine="709"/>
        <w:jc w:val="both"/>
        <w:rPr>
          <w:noProof/>
          <w:sz w:val="28"/>
          <w:szCs w:val="28"/>
          <w:u w:val="single"/>
        </w:rPr>
      </w:pPr>
      <w:r w:rsidRPr="008E3A30">
        <w:rPr>
          <w:noProof/>
          <w:sz w:val="28"/>
          <w:szCs w:val="28"/>
        </w:rPr>
        <w:t xml:space="preserve">Kavruk, Hasan, </w:t>
      </w:r>
      <w:r w:rsidRPr="008E3A30">
        <w:rPr>
          <w:i/>
          <w:noProof/>
          <w:sz w:val="28"/>
          <w:szCs w:val="28"/>
        </w:rPr>
        <w:t>Şeyhülislâm Yahyâ Divânı (Tenkitli Metin)</w:t>
      </w:r>
      <w:r w:rsidRPr="008E3A30">
        <w:rPr>
          <w:noProof/>
          <w:sz w:val="28"/>
          <w:szCs w:val="28"/>
        </w:rPr>
        <w:t xml:space="preserve">, Milli Eğitim Bakanlığı Yayınları, Ankara, 2001. </w:t>
      </w:r>
      <w:r w:rsidRPr="008E3A30">
        <w:rPr>
          <w:noProof/>
          <w:sz w:val="28"/>
          <w:szCs w:val="28"/>
          <w:u w:val="single"/>
        </w:rPr>
        <w:t>(Şairin Hayatı Edebi Kişiliği ve Eserleri ile ilgili bilgiler buradan okunacak.)</w:t>
      </w:r>
    </w:p>
    <w:p w:rsidR="008E3A30" w:rsidRPr="008E3A30" w:rsidRDefault="008E3A30" w:rsidP="008E3A30">
      <w:pPr>
        <w:spacing w:line="480" w:lineRule="auto"/>
        <w:ind w:firstLine="709"/>
        <w:jc w:val="both"/>
        <w:rPr>
          <w:noProof/>
          <w:sz w:val="28"/>
          <w:szCs w:val="28"/>
        </w:rPr>
      </w:pPr>
      <w:r w:rsidRPr="008E3A30">
        <w:rPr>
          <w:noProof/>
          <w:sz w:val="28"/>
          <w:szCs w:val="28"/>
        </w:rPr>
        <w:t xml:space="preserve">Lutfi Bayraktutan, </w:t>
      </w:r>
      <w:r w:rsidRPr="008E3A30">
        <w:rPr>
          <w:i/>
          <w:noProof/>
          <w:sz w:val="28"/>
          <w:szCs w:val="28"/>
        </w:rPr>
        <w:t>Yahyâ Divânı</w:t>
      </w:r>
      <w:r w:rsidRPr="008E3A30">
        <w:rPr>
          <w:noProof/>
          <w:sz w:val="28"/>
          <w:szCs w:val="28"/>
        </w:rPr>
        <w:t>, Kültür Bakanlığı Yayınları, Ankara, 1990.</w:t>
      </w:r>
    </w:p>
    <w:p w:rsidR="008E3A30" w:rsidRPr="008E3A30" w:rsidRDefault="008E3A30" w:rsidP="008E3A30">
      <w:pPr>
        <w:spacing w:line="480" w:lineRule="auto"/>
        <w:ind w:firstLine="709"/>
        <w:jc w:val="both"/>
        <w:rPr>
          <w:noProof/>
          <w:sz w:val="28"/>
          <w:szCs w:val="28"/>
        </w:rPr>
      </w:pPr>
      <w:r w:rsidRPr="008E3A30">
        <w:rPr>
          <w:sz w:val="28"/>
          <w:szCs w:val="28"/>
        </w:rPr>
        <w:t xml:space="preserve">Lütfi BAYRAKTUTAN, </w:t>
      </w:r>
      <w:r w:rsidRPr="008E3A30">
        <w:rPr>
          <w:i/>
          <w:sz w:val="28"/>
          <w:szCs w:val="28"/>
        </w:rPr>
        <w:t>Şeyhülislam Yahya: Hayatı, Edebi Kişiliği, Sanatı, Eserleri ve Divanı'ndan Seçmeler</w:t>
      </w:r>
      <w:r w:rsidRPr="008E3A30">
        <w:rPr>
          <w:sz w:val="28"/>
          <w:szCs w:val="28"/>
        </w:rPr>
        <w:t>, Kültür Bakanlığı Yayınları, Ankara, 1990.</w:t>
      </w:r>
    </w:p>
    <w:p w:rsidR="00156004" w:rsidRPr="008E3A30" w:rsidRDefault="008E3A30" w:rsidP="008E3A30">
      <w:pPr>
        <w:spacing w:line="480" w:lineRule="auto"/>
        <w:rPr>
          <w:sz w:val="28"/>
          <w:szCs w:val="28"/>
        </w:rPr>
      </w:pPr>
      <w:r w:rsidRPr="008E3A30">
        <w:rPr>
          <w:noProof/>
          <w:sz w:val="28"/>
          <w:szCs w:val="28"/>
        </w:rPr>
        <w:t xml:space="preserve">Rekin Ertem, </w:t>
      </w:r>
      <w:r w:rsidRPr="008E3A30">
        <w:rPr>
          <w:i/>
          <w:noProof/>
          <w:sz w:val="28"/>
          <w:szCs w:val="28"/>
        </w:rPr>
        <w:t>Yahyâ Divânı</w:t>
      </w:r>
      <w:r w:rsidRPr="008E3A30">
        <w:rPr>
          <w:noProof/>
          <w:sz w:val="28"/>
          <w:szCs w:val="28"/>
        </w:rPr>
        <w:t>, Akçağ Yayınları, Ankara, 1995.</w:t>
      </w:r>
    </w:p>
    <w:sectPr w:rsidR="00156004" w:rsidRPr="008E3A30" w:rsidSect="008E3A30">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30"/>
    <w:rsid w:val="00156004"/>
    <w:rsid w:val="00764A60"/>
    <w:rsid w:val="008E3A3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8DAE9-DC7D-4C60-9858-D0917DE0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A30"/>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qFormat/>
    <w:rsid w:val="008E3A3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2020-05-10T16:23:00Z</dcterms:created>
  <dcterms:modified xsi:type="dcterms:W3CDTF">2020-05-10T16:25:00Z</dcterms:modified>
</cp:coreProperties>
</file>