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83" w:rsidRPr="00DA5D83" w:rsidRDefault="00DA5D83" w:rsidP="00DA5D83">
      <w:pPr>
        <w:spacing w:line="480" w:lineRule="auto"/>
        <w:ind w:firstLine="709"/>
        <w:jc w:val="both"/>
        <w:rPr>
          <w:b/>
          <w:noProof/>
          <w:sz w:val="28"/>
          <w:szCs w:val="28"/>
        </w:rPr>
      </w:pPr>
      <w:r w:rsidRPr="00DA5D83">
        <w:rPr>
          <w:b/>
          <w:noProof/>
          <w:sz w:val="32"/>
          <w:szCs w:val="32"/>
        </w:rPr>
        <w:t>FEHÎM-İ KADÎM (öl.1647)</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Tahir Üzgör, </w:t>
      </w:r>
      <w:r w:rsidRPr="00DA5D83">
        <w:rPr>
          <w:i/>
          <w:noProof/>
          <w:sz w:val="28"/>
          <w:szCs w:val="28"/>
        </w:rPr>
        <w:t xml:space="preserve">Fehîm-i Kadîm, </w:t>
      </w:r>
      <w:r w:rsidRPr="00DA5D83">
        <w:rPr>
          <w:noProof/>
          <w:sz w:val="28"/>
          <w:szCs w:val="28"/>
        </w:rPr>
        <w:t>TDVİA., C.12.</w:t>
      </w:r>
    </w:p>
    <w:p w:rsidR="00DA5D83" w:rsidRPr="00DA5D83" w:rsidRDefault="00DA5D83" w:rsidP="00DA5D83">
      <w:pPr>
        <w:spacing w:line="480" w:lineRule="auto"/>
        <w:ind w:firstLine="709"/>
        <w:jc w:val="both"/>
        <w:rPr>
          <w:noProof/>
          <w:sz w:val="28"/>
          <w:szCs w:val="28"/>
        </w:rPr>
      </w:pPr>
      <w:r w:rsidRPr="00DA5D83">
        <w:rPr>
          <w:noProof/>
          <w:sz w:val="28"/>
          <w:szCs w:val="28"/>
        </w:rPr>
        <w:t>Sebk-i Hindî üslubunu benimsemiş şairlerdendir. En önemli eseri Divan’ıdır.İlk yazdığı Divan’da “Dakîkî” mahlasını kullanmış, ancak daha sonra bu Divan’ı yakmış ve “Fehîm” mahlasıyla yazdığı yeni şiirlerinden oluşan bir divan daha düzenlemiştir. Bir şehr-engizi, bir bahr-i tavili (ölçülü ve uzun nesir cümleleri niteliğinde kafiyeli dizelerden oluşan bir biçim) vardır. Bahr-i tavil Arap, Arnavut, Ermeni, Rum, Yahudi, Tatar, Acem, Kürt, Türk ve kendi ağzından olmak üzere on iki ağzı taklit ederek yazdığı uzun manzumedir.</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Tahir Üzgör, </w:t>
      </w:r>
      <w:r w:rsidRPr="00DA5D83">
        <w:rPr>
          <w:i/>
          <w:noProof/>
          <w:sz w:val="28"/>
          <w:szCs w:val="28"/>
        </w:rPr>
        <w:t>Fehîm-i Kadîm: Hayatı, Sanatı, Dîvân’ı ve Metnin Bugünkü Türkçesi</w:t>
      </w:r>
      <w:r w:rsidRPr="00DA5D83">
        <w:rPr>
          <w:noProof/>
          <w:sz w:val="28"/>
          <w:szCs w:val="28"/>
        </w:rPr>
        <w:t>, Atatürk Kültür Merkezi Yayınları, Ankara, 1991.</w:t>
      </w:r>
    </w:p>
    <w:p w:rsidR="00DA5D83" w:rsidRPr="00DA5D83" w:rsidRDefault="00DA5D83" w:rsidP="00DA5D83">
      <w:pPr>
        <w:spacing w:line="480" w:lineRule="auto"/>
        <w:ind w:firstLine="709"/>
        <w:jc w:val="both"/>
        <w:rPr>
          <w:b/>
          <w:noProof/>
          <w:sz w:val="28"/>
          <w:szCs w:val="28"/>
        </w:rPr>
      </w:pPr>
      <w:r w:rsidRPr="00DA5D83">
        <w:rPr>
          <w:b/>
          <w:noProof/>
          <w:sz w:val="32"/>
          <w:szCs w:val="32"/>
        </w:rPr>
        <w:t>ŞEYHÜLİSLAM BAHAYÎ (öl.1653)</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Şeyhülislam Hoca Sadeddin Efendi’ nin torunudur. Çeşitli medreselerde </w:t>
      </w:r>
      <w:r w:rsidRPr="00DA5D83">
        <w:rPr>
          <w:b/>
          <w:noProof/>
          <w:sz w:val="28"/>
          <w:szCs w:val="28"/>
        </w:rPr>
        <w:t>müderrislik</w:t>
      </w:r>
      <w:r w:rsidRPr="00DA5D83">
        <w:rPr>
          <w:noProof/>
          <w:sz w:val="28"/>
          <w:szCs w:val="28"/>
        </w:rPr>
        <w:t xml:space="preserve"> yapmıştır. Daha sonra Selanik, Halep, Şam, Edirne ve İstanbul </w:t>
      </w:r>
      <w:r w:rsidRPr="00DA5D83">
        <w:rPr>
          <w:b/>
          <w:noProof/>
          <w:sz w:val="28"/>
          <w:szCs w:val="28"/>
        </w:rPr>
        <w:t>kadısı</w:t>
      </w:r>
      <w:r w:rsidRPr="00DA5D83">
        <w:rPr>
          <w:noProof/>
          <w:sz w:val="28"/>
          <w:szCs w:val="28"/>
        </w:rPr>
        <w:t xml:space="preserve"> olmuştur. Ardından da Anadolu ve Rumeli </w:t>
      </w:r>
      <w:r w:rsidRPr="00DA5D83">
        <w:rPr>
          <w:b/>
          <w:noProof/>
          <w:sz w:val="28"/>
          <w:szCs w:val="28"/>
        </w:rPr>
        <w:t>kazaskerliğine</w:t>
      </w:r>
      <w:r w:rsidRPr="00DA5D83">
        <w:rPr>
          <w:noProof/>
          <w:sz w:val="28"/>
          <w:szCs w:val="28"/>
        </w:rPr>
        <w:t xml:space="preserve"> tayin edilmiştir. Bir dönem IV. Murad tarafından Kıbrıs’a sürgün edilmiştir. Nakşî’dir. </w:t>
      </w:r>
      <w:r w:rsidRPr="00DA5D83">
        <w:rPr>
          <w:b/>
          <w:noProof/>
          <w:sz w:val="28"/>
          <w:szCs w:val="28"/>
        </w:rPr>
        <w:t xml:space="preserve">Şiirde şair Şeyhülislam Yahya’nın etkisinde kalmış, Bahaî mahlasını ona </w:t>
      </w:r>
      <w:r w:rsidRPr="00DA5D83">
        <w:rPr>
          <w:b/>
          <w:noProof/>
          <w:sz w:val="28"/>
          <w:szCs w:val="28"/>
        </w:rPr>
        <w:lastRenderedPageBreak/>
        <w:t>Yahya vermiştir.</w:t>
      </w:r>
      <w:r w:rsidRPr="00DA5D83">
        <w:rPr>
          <w:noProof/>
          <w:sz w:val="28"/>
          <w:szCs w:val="28"/>
        </w:rPr>
        <w:t xml:space="preserve"> </w:t>
      </w:r>
      <w:r w:rsidRPr="00DA5D83">
        <w:rPr>
          <w:b/>
          <w:noProof/>
          <w:sz w:val="28"/>
          <w:szCs w:val="28"/>
        </w:rPr>
        <w:t>Baki de onun etkilendiği şairlerdendir.</w:t>
      </w:r>
      <w:r w:rsidRPr="00DA5D83">
        <w:rPr>
          <w:noProof/>
          <w:sz w:val="28"/>
          <w:szCs w:val="28"/>
        </w:rPr>
        <w:t xml:space="preserve"> Toplam 900 beyit kadar olan Divançe’sindeki şiirlerinin tamamı din dışı konularda yazılmıştır. Hatta bu edebiyat geleneğinin bir özelliği olarak divanında mutlaka olması gereken tevhid, münacat ve na’t gibi dini manzumeler de yoktur.</w:t>
      </w:r>
    </w:p>
    <w:p w:rsidR="00DA5D83" w:rsidRPr="00DA5D83" w:rsidRDefault="00DA5D83" w:rsidP="00DA5D83">
      <w:pPr>
        <w:spacing w:line="480" w:lineRule="auto"/>
        <w:ind w:firstLine="709"/>
        <w:jc w:val="both"/>
        <w:rPr>
          <w:noProof/>
          <w:sz w:val="28"/>
          <w:szCs w:val="28"/>
        </w:rPr>
      </w:pPr>
      <w:r w:rsidRPr="00DA5D83">
        <w:rPr>
          <w:noProof/>
          <w:sz w:val="28"/>
          <w:szCs w:val="28"/>
        </w:rPr>
        <w:t>Divanı ilk önce S.N.Ergun tarafından yayımlanmıştır.</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Sadeddin Nüzhet Ergun, </w:t>
      </w:r>
      <w:r w:rsidRPr="00DA5D83">
        <w:rPr>
          <w:b/>
          <w:i/>
          <w:noProof/>
          <w:sz w:val="28"/>
          <w:szCs w:val="28"/>
        </w:rPr>
        <w:t>Şeyhülislam Bahâyî: Hayatı ve Eserleri</w:t>
      </w:r>
      <w:r w:rsidRPr="00DA5D83">
        <w:rPr>
          <w:noProof/>
          <w:sz w:val="28"/>
          <w:szCs w:val="28"/>
        </w:rPr>
        <w:t>, İstanbul, 1933.</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Harun Tolasa, </w:t>
      </w:r>
      <w:r w:rsidRPr="00DA5D83">
        <w:rPr>
          <w:b/>
          <w:i/>
          <w:noProof/>
          <w:sz w:val="28"/>
          <w:szCs w:val="28"/>
        </w:rPr>
        <w:t>Günümüz Türkçesindeki Karşılıklarıyla Şeyhülislam Bahâyî Efendi Divanı’ndan Seçmeler</w:t>
      </w:r>
      <w:r w:rsidRPr="00DA5D83">
        <w:rPr>
          <w:noProof/>
          <w:sz w:val="28"/>
          <w:szCs w:val="28"/>
        </w:rPr>
        <w:t>, İstanbul, 1979.</w:t>
      </w:r>
    </w:p>
    <w:p w:rsidR="00DA5D83" w:rsidRPr="00DA5D83" w:rsidRDefault="00DA5D83" w:rsidP="00DA5D83">
      <w:pPr>
        <w:spacing w:line="480" w:lineRule="auto"/>
        <w:ind w:firstLine="709"/>
        <w:jc w:val="both"/>
        <w:rPr>
          <w:noProof/>
          <w:sz w:val="28"/>
          <w:szCs w:val="28"/>
        </w:rPr>
      </w:pPr>
      <w:r w:rsidRPr="00DA5D83">
        <w:rPr>
          <w:noProof/>
          <w:sz w:val="28"/>
          <w:szCs w:val="28"/>
        </w:rPr>
        <w:t>Mehmet İpşirli, Mustafa Uzun, “Bahâî Mehmed Efendi”, TDVİA, C.4.</w:t>
      </w:r>
    </w:p>
    <w:p w:rsidR="00DA5D83" w:rsidRPr="00DA5D83" w:rsidRDefault="00DA5D83" w:rsidP="00DA5D83">
      <w:pPr>
        <w:spacing w:before="120" w:line="480" w:lineRule="auto"/>
        <w:ind w:firstLine="709"/>
        <w:jc w:val="both"/>
        <w:rPr>
          <w:b/>
          <w:noProof/>
          <w:sz w:val="28"/>
          <w:szCs w:val="28"/>
        </w:rPr>
      </w:pPr>
      <w:bookmarkStart w:id="0" w:name="_GoBack"/>
      <w:r w:rsidRPr="00DA5D83">
        <w:rPr>
          <w:b/>
          <w:noProof/>
          <w:sz w:val="32"/>
          <w:szCs w:val="32"/>
        </w:rPr>
        <w:t>NAİLÎ-İ KADÎM (öl.1666)</w:t>
      </w:r>
      <w:bookmarkEnd w:id="0"/>
    </w:p>
    <w:p w:rsidR="00DA5D83" w:rsidRPr="00DA5D83" w:rsidRDefault="00DA5D83" w:rsidP="00DA5D83">
      <w:pPr>
        <w:spacing w:line="480" w:lineRule="auto"/>
        <w:ind w:firstLine="709"/>
        <w:jc w:val="both"/>
        <w:rPr>
          <w:noProof/>
          <w:sz w:val="28"/>
          <w:szCs w:val="28"/>
        </w:rPr>
      </w:pPr>
      <w:r w:rsidRPr="00DA5D83">
        <w:rPr>
          <w:noProof/>
          <w:sz w:val="28"/>
          <w:szCs w:val="28"/>
        </w:rPr>
        <w:t xml:space="preserve">19. yüzyıl şairi Manastırlı Naili’den ayrılması için Naili-i Kadim diye anılır. Sebk-i Hindî üslubunun öncülerindendir. Kasideler de yazmış olmakla birlikte, gazel şairidir. Gazellerinde Fehim-i Kadim’den etkilenmiştir. Yine bir sebk-i Hindî şairi İsmetî’ye nazireler yazmıştır. Şiirlerinin dili ağır ve Farsça terkiplerle yüklüdür. Şiirlerinde ince ve derin anlamlara önem vermiştir. Dolayısıyla kasidelerinde “fahriye” bölümleri önemli yer tutar. Gazelleri “münakkahiyet (az sözle çok şey söyleme)” örneği </w:t>
      </w:r>
      <w:r w:rsidRPr="00DA5D83">
        <w:rPr>
          <w:noProof/>
          <w:sz w:val="28"/>
          <w:szCs w:val="28"/>
        </w:rPr>
        <w:lastRenderedPageBreak/>
        <w:t>sayılmıştır. Şiirlerinde, özellikle kasidelerinde “ben” dilini fazlaca kullanmıştır. Halvetî tarikatine mensuptur. Nitekim Divan’ındaki “</w:t>
      </w:r>
      <w:r w:rsidRPr="00DA5D83">
        <w:rPr>
          <w:b/>
          <w:noProof/>
          <w:sz w:val="28"/>
          <w:szCs w:val="28"/>
        </w:rPr>
        <w:t>halvetîleriz</w:t>
      </w:r>
      <w:r w:rsidRPr="00DA5D83">
        <w:rPr>
          <w:noProof/>
          <w:sz w:val="28"/>
          <w:szCs w:val="28"/>
        </w:rPr>
        <w:t>” redifli gazeli bunun göstergesidir. Divanı H.İpekten tarafından yayımlanmıştır.</w:t>
      </w:r>
    </w:p>
    <w:p w:rsidR="00DA5D83" w:rsidRPr="00DA5D83" w:rsidRDefault="00DA5D83" w:rsidP="00DA5D83">
      <w:pPr>
        <w:spacing w:line="480" w:lineRule="auto"/>
        <w:ind w:firstLine="709"/>
        <w:jc w:val="both"/>
        <w:rPr>
          <w:noProof/>
          <w:sz w:val="28"/>
          <w:szCs w:val="28"/>
        </w:rPr>
      </w:pPr>
      <w:r w:rsidRPr="00DA5D83">
        <w:rPr>
          <w:noProof/>
          <w:sz w:val="28"/>
          <w:szCs w:val="28"/>
        </w:rPr>
        <w:t xml:space="preserve">Haluk İpekten, </w:t>
      </w:r>
      <w:r w:rsidRPr="00DA5D83">
        <w:rPr>
          <w:b/>
          <w:i/>
          <w:noProof/>
          <w:sz w:val="28"/>
          <w:szCs w:val="28"/>
        </w:rPr>
        <w:t>Naili-i Kadim Divanı</w:t>
      </w:r>
      <w:r w:rsidRPr="00DA5D83">
        <w:rPr>
          <w:noProof/>
          <w:sz w:val="28"/>
          <w:szCs w:val="28"/>
        </w:rPr>
        <w:t>, MEB. Yayınları, İstanbul, 1970.</w:t>
      </w:r>
    </w:p>
    <w:p w:rsidR="00DA5D83" w:rsidRPr="00DA5D83" w:rsidRDefault="00DA5D83" w:rsidP="00DA5D83">
      <w:pPr>
        <w:spacing w:line="480" w:lineRule="auto"/>
        <w:ind w:firstLine="709"/>
        <w:jc w:val="both"/>
        <w:rPr>
          <w:noProof/>
          <w:sz w:val="28"/>
          <w:szCs w:val="28"/>
        </w:rPr>
      </w:pPr>
      <w:r w:rsidRPr="00DA5D83">
        <w:rPr>
          <w:noProof/>
          <w:sz w:val="28"/>
          <w:szCs w:val="28"/>
        </w:rPr>
        <w:t>Ayşegül Mine Yeşiloğlu, “Nâilî”, TDVİA.</w:t>
      </w:r>
    </w:p>
    <w:p w:rsidR="00156004" w:rsidRPr="00DA5D83" w:rsidRDefault="00DA5D83" w:rsidP="00DA5D83">
      <w:pPr>
        <w:spacing w:line="480" w:lineRule="auto"/>
        <w:rPr>
          <w:sz w:val="28"/>
          <w:szCs w:val="28"/>
        </w:rPr>
      </w:pPr>
      <w:r w:rsidRPr="00DA5D83">
        <w:rPr>
          <w:noProof/>
          <w:sz w:val="28"/>
          <w:szCs w:val="28"/>
        </w:rPr>
        <w:t xml:space="preserve">Haluk İpekten, </w:t>
      </w:r>
      <w:r w:rsidRPr="00DA5D83">
        <w:rPr>
          <w:i/>
          <w:noProof/>
          <w:sz w:val="28"/>
          <w:szCs w:val="28"/>
        </w:rPr>
        <w:t>Nâilî: Hayatı, Sanatı, Eserleri</w:t>
      </w:r>
      <w:r w:rsidRPr="00DA5D83">
        <w:rPr>
          <w:noProof/>
          <w:sz w:val="28"/>
          <w:szCs w:val="28"/>
        </w:rPr>
        <w:t>, Akçağ Yayınları, Ankara, 1991. (Burada sebk-i Hindî’nin özellikleri de anlatılmıştır.)</w:t>
      </w:r>
    </w:p>
    <w:sectPr w:rsidR="00156004" w:rsidRPr="00DA5D83" w:rsidSect="00DA5D83">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83"/>
    <w:rsid w:val="00156004"/>
    <w:rsid w:val="00764A60"/>
    <w:rsid w:val="00B83C82"/>
    <w:rsid w:val="00DA5D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4B72E-7850-413D-8D2E-A908759B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D83"/>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2020-05-10T16:25:00Z</dcterms:created>
  <dcterms:modified xsi:type="dcterms:W3CDTF">2020-05-10T16:27:00Z</dcterms:modified>
</cp:coreProperties>
</file>