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ALERJİK HASTALARDA ANAMNEZ VE FİZİK MUAYENE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Alerjik Hastaların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Alerjik hastaların klinik bulgu ve belirtilerini </w:t>
            </w:r>
            <w:proofErr w:type="gramStart"/>
            <w:r>
              <w:rPr>
                <w:szCs w:val="16"/>
              </w:rPr>
              <w:t>öğrenmek,birinci</w:t>
            </w:r>
            <w:proofErr w:type="gramEnd"/>
            <w:r>
              <w:rPr>
                <w:szCs w:val="16"/>
              </w:rPr>
              <w:t xml:space="preserve"> basamakta uygun tetkikini ve ayırıcı tanısını 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3707D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707D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032AC"/>
    <w:rsid w:val="00284094"/>
    <w:rsid w:val="0073707D"/>
    <w:rsid w:val="00832BE3"/>
    <w:rsid w:val="00AC2741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2020-05-18T11:17:00Z</dcterms:created>
  <dcterms:modified xsi:type="dcterms:W3CDTF">2020-05-18T11:17:00Z</dcterms:modified>
</cp:coreProperties>
</file>