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A6" w:rsidRDefault="00E267A6" w:rsidP="00E267A6">
      <w:pPr>
        <w:spacing w:line="342" w:lineRule="auto"/>
        <w:ind w:firstLine="284"/>
        <w:jc w:val="both"/>
        <w:rPr>
          <w:rFonts w:ascii="Times New Roman" w:eastAsia="Times New Roman" w:hAnsi="Times New Roman"/>
          <w:sz w:val="21"/>
        </w:rPr>
      </w:pPr>
      <w:r>
        <w:rPr>
          <w:rFonts w:ascii="Times New Roman" w:eastAsia="Times New Roman" w:hAnsi="Times New Roman"/>
          <w:sz w:val="21"/>
        </w:rPr>
        <w:t>Dâvûd b. Alî’nin gerek usûl gerekse furû’ konularındaki görüşlerini doğ-rudan doğruya kendi eserlerinden görerek değerlendirmemiz mümkün görün-</w:t>
      </w:r>
    </w:p>
    <w:p w:rsidR="00E267A6" w:rsidRDefault="00E267A6" w:rsidP="00E267A6">
      <w:pPr>
        <w:spacing w:line="20" w:lineRule="exact"/>
        <w:rPr>
          <w:rFonts w:ascii="Times New Roman" w:eastAsia="Times New Roman" w:hAnsi="Times New Roman"/>
        </w:rPr>
      </w:pPr>
      <w:r>
        <w:rPr>
          <w:rFonts w:ascii="Times New Roman" w:eastAsia="Times New Roman" w:hAnsi="Times New Roman"/>
          <w:sz w:val="21"/>
        </w:rPr>
        <w:pict>
          <v:line id="_x0000_s1026" style="position:absolute;z-index:-251656192" from=".15pt,6pt" to="141.9pt,6pt" o:userdrawn="t" strokeweight=".25pt"/>
        </w:pict>
      </w:r>
    </w:p>
    <w:p w:rsidR="00E267A6" w:rsidRDefault="00E267A6" w:rsidP="00E267A6">
      <w:pPr>
        <w:spacing w:line="132" w:lineRule="exact"/>
        <w:rPr>
          <w:rFonts w:ascii="Times New Roman" w:eastAsia="Times New Roman" w:hAnsi="Times New Roman"/>
        </w:rPr>
      </w:pPr>
    </w:p>
    <w:p w:rsidR="00E267A6" w:rsidRDefault="00E267A6" w:rsidP="00E267A6">
      <w:pPr>
        <w:spacing w:line="269" w:lineRule="auto"/>
        <w:ind w:left="240" w:hanging="226"/>
        <w:jc w:val="both"/>
        <w:rPr>
          <w:rFonts w:ascii="Times New Roman" w:eastAsia="Times New Roman" w:hAnsi="Times New Roman"/>
          <w:sz w:val="15"/>
        </w:rPr>
      </w:pPr>
      <w:r>
        <w:rPr>
          <w:rFonts w:ascii="Times New Roman" w:eastAsia="Times New Roman" w:hAnsi="Times New Roman"/>
          <w:sz w:val="15"/>
        </w:rPr>
        <w:t xml:space="preserve">28 Eğer Müzenî’ye yazıldığı söylenen risâle gerçekten de Dâvûd tarafından yazılmış ise bunun 300h./912m. yılından daha önce olmuş olması gerekir. Zira Dâvûd b.Alî, 270h./883m. yılında vefat etmiştir. (Bkz: İbn Hacer, </w:t>
      </w:r>
      <w:r>
        <w:rPr>
          <w:rFonts w:ascii="Times New Roman" w:eastAsia="Times New Roman" w:hAnsi="Times New Roman"/>
          <w:i/>
          <w:sz w:val="15"/>
        </w:rPr>
        <w:t>Lisânü’l-Mîzân</w:t>
      </w:r>
      <w:r>
        <w:rPr>
          <w:rFonts w:ascii="Times New Roman" w:eastAsia="Times New Roman" w:hAnsi="Times New Roman"/>
          <w:sz w:val="15"/>
        </w:rPr>
        <w:t xml:space="preserve">, III/405; Zehebî, </w:t>
      </w:r>
      <w:r>
        <w:rPr>
          <w:rFonts w:ascii="Times New Roman" w:eastAsia="Times New Roman" w:hAnsi="Times New Roman"/>
          <w:i/>
          <w:sz w:val="15"/>
        </w:rPr>
        <w:t>Nüzhetü’l-Fudalâ</w:t>
      </w:r>
      <w:r>
        <w:rPr>
          <w:rFonts w:ascii="Times New Roman" w:eastAsia="Times New Roman" w:hAnsi="Times New Roman"/>
          <w:sz w:val="15"/>
        </w:rPr>
        <w:t xml:space="preserve">, II/948; Ebû Abdillâh Muhammed b. Ahmed İbn Abdi’l-Hâdî, </w:t>
      </w:r>
      <w:r>
        <w:rPr>
          <w:rFonts w:ascii="Times New Roman" w:eastAsia="Times New Roman" w:hAnsi="Times New Roman"/>
          <w:i/>
          <w:sz w:val="15"/>
        </w:rPr>
        <w:t>Tabakâtü Ulemâi’l-Hadîs,</w:t>
      </w:r>
      <w:r>
        <w:rPr>
          <w:rFonts w:ascii="Times New Roman" w:eastAsia="Times New Roman" w:hAnsi="Times New Roman"/>
          <w:sz w:val="15"/>
        </w:rPr>
        <w:t xml:space="preserve"> Müessesetü’r-Risâle, Beyrût 1996., II/268; Hacvî, III/23; Safedî, XIII/297. [Dâvûd’un 269h.’da öldüğü de söylenmiştir. Bkz: Angel Gon-zalez Palencia, </w:t>
      </w:r>
      <w:r>
        <w:rPr>
          <w:rFonts w:ascii="Times New Roman" w:eastAsia="Times New Roman" w:hAnsi="Times New Roman"/>
          <w:i/>
          <w:sz w:val="15"/>
        </w:rPr>
        <w:t>Historia de la Leteratura Arabigo Espanola</w:t>
      </w:r>
      <w:r>
        <w:rPr>
          <w:rFonts w:ascii="Times New Roman" w:eastAsia="Times New Roman" w:hAnsi="Times New Roman"/>
          <w:sz w:val="15"/>
        </w:rPr>
        <w:t xml:space="preserve"> (Arapça’ya çev: Huseyn Mü’nis, </w:t>
      </w:r>
      <w:r>
        <w:rPr>
          <w:rFonts w:ascii="Times New Roman" w:eastAsia="Times New Roman" w:hAnsi="Times New Roman"/>
          <w:i/>
          <w:sz w:val="15"/>
        </w:rPr>
        <w:t xml:space="preserve">Tarîhu’l-Fikri’l-Endelüsî, </w:t>
      </w:r>
      <w:r>
        <w:rPr>
          <w:rFonts w:ascii="Times New Roman" w:eastAsia="Times New Roman" w:hAnsi="Times New Roman"/>
          <w:sz w:val="15"/>
        </w:rPr>
        <w:t>Mektebetü’s-Sekâfeti’d-Dîniyye, Port Said (t.y.), s. 409.] Dâvûd Müzeni’nin eleştirile-rine cevap vermek için yazdığı bu risaleyi Müzenî’nin kendisine değil de İbnü’l-Cârûd’a yazdığına göre bu, Müzenî’nin vefatından sonra olmalıdır. Zirâ Müzenî hayatta olsaydı onun eleştirilerini doğrudan ona yazdığı bir eserle reddetmesi beklenirdi. Buna göre risâle, muhtemelen Müzenî’nin vefat yılı olan 264h./877m. ile Dâvûd b. Alî’nin vefat yılı olan 270h./983m. arasında yazılmıştır.</w:t>
      </w:r>
    </w:p>
    <w:p w:rsidR="00E267A6" w:rsidRDefault="00E267A6" w:rsidP="00E267A6">
      <w:pPr>
        <w:spacing w:line="2" w:lineRule="exact"/>
        <w:rPr>
          <w:rFonts w:ascii="Times New Roman" w:eastAsia="Times New Roman" w:hAnsi="Times New Roman"/>
        </w:rPr>
      </w:pPr>
    </w:p>
    <w:p w:rsidR="00E267A6" w:rsidRDefault="00E267A6" w:rsidP="00E267A6">
      <w:pPr>
        <w:numPr>
          <w:ilvl w:val="0"/>
          <w:numId w:val="7"/>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Sübkî, II/290.</w:t>
      </w:r>
    </w:p>
    <w:p w:rsidR="00E267A6" w:rsidRDefault="00E267A6" w:rsidP="00E267A6">
      <w:pPr>
        <w:spacing w:line="8" w:lineRule="exact"/>
        <w:rPr>
          <w:rFonts w:ascii="Times New Roman" w:eastAsia="Times New Roman" w:hAnsi="Times New Roman"/>
          <w:sz w:val="16"/>
        </w:rPr>
      </w:pPr>
    </w:p>
    <w:p w:rsidR="00E267A6" w:rsidRDefault="00E267A6" w:rsidP="00E267A6">
      <w:pPr>
        <w:numPr>
          <w:ilvl w:val="0"/>
          <w:numId w:val="7"/>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İbnü’n-Nedîm, s. 272.</w:t>
      </w:r>
    </w:p>
    <w:p w:rsidR="00E267A6" w:rsidRDefault="00E267A6" w:rsidP="00E267A6">
      <w:pPr>
        <w:spacing w:line="8" w:lineRule="exact"/>
        <w:rPr>
          <w:rFonts w:ascii="Times New Roman" w:eastAsia="Times New Roman" w:hAnsi="Times New Roman"/>
          <w:sz w:val="16"/>
        </w:rPr>
      </w:pPr>
    </w:p>
    <w:p w:rsidR="00E267A6" w:rsidRDefault="00E267A6" w:rsidP="00E267A6">
      <w:pPr>
        <w:numPr>
          <w:ilvl w:val="0"/>
          <w:numId w:val="7"/>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İbnü’n-Nedîm, s. 272.</w:t>
      </w:r>
    </w:p>
    <w:p w:rsidR="00E267A6" w:rsidRDefault="00E267A6" w:rsidP="00E267A6">
      <w:pPr>
        <w:spacing w:line="8" w:lineRule="exact"/>
        <w:rPr>
          <w:rFonts w:ascii="Times New Roman" w:eastAsia="Times New Roman" w:hAnsi="Times New Roman"/>
          <w:sz w:val="16"/>
        </w:rPr>
      </w:pPr>
    </w:p>
    <w:p w:rsidR="00E267A6" w:rsidRDefault="00E267A6" w:rsidP="00E267A6">
      <w:pPr>
        <w:numPr>
          <w:ilvl w:val="0"/>
          <w:numId w:val="7"/>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İbn Hacer</w:t>
      </w:r>
      <w:r>
        <w:rPr>
          <w:rFonts w:ascii="Times New Roman" w:eastAsia="Times New Roman" w:hAnsi="Times New Roman"/>
          <w:i/>
          <w:sz w:val="16"/>
        </w:rPr>
        <w:t>, Lisânü’l-Mîzân</w:t>
      </w:r>
      <w:r>
        <w:rPr>
          <w:rFonts w:ascii="Times New Roman" w:eastAsia="Times New Roman" w:hAnsi="Times New Roman"/>
          <w:sz w:val="16"/>
        </w:rPr>
        <w:t xml:space="preserve">, III/405; Zehebî, </w:t>
      </w:r>
      <w:r>
        <w:rPr>
          <w:rFonts w:ascii="Times New Roman" w:eastAsia="Times New Roman" w:hAnsi="Times New Roman"/>
          <w:i/>
          <w:sz w:val="16"/>
        </w:rPr>
        <w:t>Târihu’l-İslâm</w:t>
      </w:r>
      <w:r>
        <w:rPr>
          <w:rFonts w:ascii="Times New Roman" w:eastAsia="Times New Roman" w:hAnsi="Times New Roman"/>
          <w:sz w:val="16"/>
        </w:rPr>
        <w:t>, XX/90.</w:t>
      </w:r>
    </w:p>
    <w:p w:rsidR="00E267A6" w:rsidRDefault="00E267A6" w:rsidP="00E267A6">
      <w:pPr>
        <w:tabs>
          <w:tab w:val="left" w:pos="240"/>
        </w:tabs>
        <w:spacing w:line="0" w:lineRule="atLeast"/>
        <w:ind w:left="240" w:hanging="236"/>
        <w:rPr>
          <w:rFonts w:ascii="Times New Roman" w:eastAsia="Times New Roman" w:hAnsi="Times New Roman"/>
          <w:sz w:val="16"/>
        </w:rPr>
        <w:sectPr w:rsidR="00E267A6">
          <w:pgSz w:w="9240" w:h="13663"/>
          <w:pgMar w:top="1237" w:right="1141" w:bottom="699" w:left="1300" w:header="0" w:footer="0" w:gutter="0"/>
          <w:cols w:space="0" w:equalWidth="0">
            <w:col w:w="6800"/>
          </w:cols>
          <w:docGrid w:linePitch="360"/>
        </w:sectPr>
      </w:pPr>
    </w:p>
    <w:tbl>
      <w:tblPr>
        <w:tblW w:w="0" w:type="auto"/>
        <w:tblInd w:w="6" w:type="dxa"/>
        <w:tblLayout w:type="fixed"/>
        <w:tblCellMar>
          <w:left w:w="0" w:type="dxa"/>
          <w:right w:w="0" w:type="dxa"/>
        </w:tblCellMar>
        <w:tblLook w:val="0000"/>
      </w:tblPr>
      <w:tblGrid>
        <w:gridCol w:w="5320"/>
        <w:gridCol w:w="1480"/>
      </w:tblGrid>
      <w:tr w:rsidR="00E267A6" w:rsidTr="000C5968">
        <w:trPr>
          <w:trHeight w:val="234"/>
        </w:trPr>
        <w:tc>
          <w:tcPr>
            <w:tcW w:w="5320" w:type="dxa"/>
            <w:shd w:val="clear" w:color="auto" w:fill="auto"/>
            <w:vAlign w:val="bottom"/>
          </w:tcPr>
          <w:p w:rsidR="00E267A6" w:rsidRDefault="00E267A6" w:rsidP="000C5968">
            <w:pPr>
              <w:spacing w:line="0" w:lineRule="atLeast"/>
              <w:rPr>
                <w:rFonts w:ascii="Times New Roman" w:eastAsia="Times New Roman" w:hAnsi="Times New Roman"/>
                <w:i/>
                <w:sz w:val="14"/>
              </w:rPr>
            </w:pPr>
            <w:bookmarkStart w:id="0" w:name="page9"/>
            <w:bookmarkEnd w:id="0"/>
            <w:r>
              <w:rPr>
                <w:rFonts w:ascii="Times New Roman" w:eastAsia="Times New Roman" w:hAnsi="Times New Roman"/>
                <w:i/>
                <w:sz w:val="14"/>
              </w:rPr>
              <w:lastRenderedPageBreak/>
              <w:t>Kökeni Oluşumu ve Algılanışı Bakımından İbn Hazm Öncesinde Zâhirîlik</w:t>
            </w:r>
          </w:p>
        </w:tc>
        <w:tc>
          <w:tcPr>
            <w:tcW w:w="1480" w:type="dxa"/>
            <w:shd w:val="clear" w:color="auto" w:fill="auto"/>
            <w:vAlign w:val="bottom"/>
          </w:tcPr>
          <w:p w:rsidR="00E267A6" w:rsidRDefault="00E267A6" w:rsidP="000C5968">
            <w:pPr>
              <w:spacing w:line="0" w:lineRule="atLeast"/>
              <w:jc w:val="right"/>
              <w:rPr>
                <w:rFonts w:ascii="Times New Roman" w:eastAsia="Times New Roman" w:hAnsi="Times New Roman"/>
                <w:sz w:val="18"/>
              </w:rPr>
            </w:pPr>
            <w:r>
              <w:rPr>
                <w:rFonts w:ascii="Times New Roman" w:eastAsia="Times New Roman" w:hAnsi="Times New Roman"/>
                <w:sz w:val="18"/>
              </w:rPr>
              <w:t>145</w:t>
            </w:r>
          </w:p>
        </w:tc>
      </w:tr>
    </w:tbl>
    <w:p w:rsidR="00E267A6" w:rsidRDefault="00E267A6" w:rsidP="00E267A6">
      <w:pPr>
        <w:spacing w:line="200" w:lineRule="exact"/>
        <w:rPr>
          <w:rFonts w:ascii="Times New Roman" w:eastAsia="Times New Roman" w:hAnsi="Times New Roman"/>
        </w:rPr>
      </w:pPr>
    </w:p>
    <w:p w:rsidR="00E267A6" w:rsidRDefault="00E267A6" w:rsidP="00E267A6">
      <w:pPr>
        <w:spacing w:line="200" w:lineRule="exact"/>
        <w:rPr>
          <w:rFonts w:ascii="Times New Roman" w:eastAsia="Times New Roman" w:hAnsi="Times New Roman"/>
        </w:rPr>
      </w:pPr>
    </w:p>
    <w:p w:rsidR="00E267A6" w:rsidRDefault="00E267A6" w:rsidP="00E267A6">
      <w:pPr>
        <w:spacing w:line="204" w:lineRule="exact"/>
        <w:rPr>
          <w:rFonts w:ascii="Times New Roman" w:eastAsia="Times New Roman" w:hAnsi="Times New Roman"/>
        </w:rPr>
      </w:pPr>
    </w:p>
    <w:p w:rsidR="00E267A6" w:rsidRDefault="00E267A6" w:rsidP="00E267A6">
      <w:pPr>
        <w:spacing w:line="298" w:lineRule="auto"/>
        <w:ind w:left="6"/>
        <w:jc w:val="both"/>
        <w:rPr>
          <w:rFonts w:ascii="Times New Roman" w:eastAsia="Times New Roman" w:hAnsi="Times New Roman"/>
          <w:sz w:val="21"/>
        </w:rPr>
      </w:pPr>
      <w:r>
        <w:rPr>
          <w:rFonts w:ascii="Times New Roman" w:eastAsia="Times New Roman" w:hAnsi="Times New Roman"/>
          <w:sz w:val="21"/>
        </w:rPr>
        <w:t>memektedir. Dâvûd b. Alî’nin gerek usûl anlayışını gerekse furû konulardaki görüşlerini bulabilmek için önümüzde üç çeşit kaynak vardır: Bunlardan ilki Dâvûd’dan sonra yaşayan Zâhirîlerin eserleridir. Bu açıdan da yine en önemli kaynak İbn Hazm’ın eserleridir. Dâvûd’un görüşlerine dair bilgi bulabilece-ğimiz ikinci grupta yer alan eserler ise, Zâhirî olmayan usûlcü ve fakîhlerin eserleridir. Fakat Zâhirî anlayışı benimsemedikleri halde Dâvûd’un görüşlerini nakleden kimselerin Zâhirîliğe ve Dâvûd’a bakışları objektif olmayabilmek-tedir. Bu da Dâvûd’ın görüşlerinin bu kaynaklarda doğru bir şekilde aktarılıp aktarılmadığı noktasında şüpheler uyandırmaktadır. Zira kimi usûlcüler ileri-de daha ayrıntılı bir şekilde ele alacağımız gibi Dâvûd’a daha baştan olumsuz bakabilmişlerdir. Dâvûd’un fikirlerini bulabileceğimiz üçüncü tür kaynaklar ise tabakât kitaplarıdır. Ancak tabakât kitaplarında da onun görüşlerine son derece özet bir şekilde değinilmektedir.</w:t>
      </w:r>
    </w:p>
    <w:p w:rsidR="00E267A6" w:rsidRDefault="00E267A6" w:rsidP="00E267A6">
      <w:pPr>
        <w:spacing w:line="2" w:lineRule="exact"/>
        <w:rPr>
          <w:rFonts w:ascii="Times New Roman" w:eastAsia="Times New Roman" w:hAnsi="Times New Roman"/>
        </w:rPr>
      </w:pPr>
    </w:p>
    <w:p w:rsidR="00E267A6" w:rsidRDefault="00E267A6" w:rsidP="00E267A6">
      <w:pPr>
        <w:spacing w:line="298" w:lineRule="auto"/>
        <w:ind w:left="6" w:firstLine="284"/>
        <w:jc w:val="both"/>
        <w:rPr>
          <w:rFonts w:ascii="Times New Roman" w:eastAsia="Times New Roman" w:hAnsi="Times New Roman"/>
          <w:sz w:val="12"/>
        </w:rPr>
      </w:pPr>
      <w:r>
        <w:rPr>
          <w:rFonts w:ascii="Times New Roman" w:eastAsia="Times New Roman" w:hAnsi="Times New Roman"/>
          <w:sz w:val="21"/>
        </w:rPr>
        <w:t>Dâvûd b. Alî’nin temel usûl prensibi, Kur’ân ve Sünnet nasslarının zâhirine sıkı sıkıya tutunarak zâhiri, diğer usûlcülerin hükümlerin konuluşuna sebep olarak gördükleri maslahatların önünde tutmakdır. Bu prensibiyle o kıyâsı ka-bul eden yaygın usûl anlayışından ayrılmış olmaktadır.</w:t>
      </w:r>
      <w:r>
        <w:rPr>
          <w:rFonts w:ascii="Times New Roman" w:eastAsia="Times New Roman" w:hAnsi="Times New Roman"/>
          <w:sz w:val="12"/>
        </w:rPr>
        <w:t>33</w:t>
      </w:r>
    </w:p>
    <w:p w:rsidR="00E267A6" w:rsidRDefault="00E267A6" w:rsidP="00E267A6">
      <w:pPr>
        <w:spacing w:line="1" w:lineRule="exact"/>
        <w:rPr>
          <w:rFonts w:ascii="Times New Roman" w:eastAsia="Times New Roman" w:hAnsi="Times New Roman"/>
        </w:rPr>
      </w:pPr>
    </w:p>
    <w:p w:rsidR="00E267A6" w:rsidRDefault="00E267A6" w:rsidP="00E267A6">
      <w:pPr>
        <w:spacing w:line="284" w:lineRule="auto"/>
        <w:ind w:left="6" w:firstLine="284"/>
        <w:jc w:val="both"/>
        <w:rPr>
          <w:rFonts w:ascii="Times New Roman" w:eastAsia="Times New Roman" w:hAnsi="Times New Roman"/>
          <w:sz w:val="12"/>
        </w:rPr>
      </w:pPr>
      <w:r>
        <w:rPr>
          <w:rFonts w:ascii="Times New Roman" w:eastAsia="Times New Roman" w:hAnsi="Times New Roman"/>
          <w:sz w:val="22"/>
        </w:rPr>
        <w:t>Dâvûd b. Alî’nin, genel anlamda kıyâsı reddettiği bilinmektedir. İlk kıyâs yapanın İblîs olduğu şeklindeki sözün de ona ait olduğu söylenmektedir.</w:t>
      </w:r>
      <w:r>
        <w:rPr>
          <w:rFonts w:ascii="Times New Roman" w:eastAsia="Times New Roman" w:hAnsi="Times New Roman"/>
          <w:sz w:val="12"/>
        </w:rPr>
        <w:t>34</w:t>
      </w:r>
      <w:r>
        <w:rPr>
          <w:rFonts w:ascii="Times New Roman" w:eastAsia="Times New Roman" w:hAnsi="Times New Roman"/>
          <w:sz w:val="22"/>
        </w:rPr>
        <w:t xml:space="preserve"> İbn Hazm da Dâvûd’un bu sözünü tekrar etmekte ve Allah’ın emirlerini ta’lîl etmenin bir isyan olduğunu söylemektedir. Ona göre İblis “Ben ondan (Adem’den) daha hayırlıyım. Beni ateşten; onu ise, topraktan yarattın”</w:t>
      </w:r>
      <w:r>
        <w:rPr>
          <w:rFonts w:ascii="Times New Roman" w:eastAsia="Times New Roman" w:hAnsi="Times New Roman"/>
          <w:sz w:val="12"/>
        </w:rPr>
        <w:t>35</w:t>
      </w:r>
      <w:r>
        <w:rPr>
          <w:rFonts w:ascii="Times New Roman" w:eastAsia="Times New Roman" w:hAnsi="Times New Roman"/>
          <w:sz w:val="22"/>
        </w:rPr>
        <w:t xml:space="preserve"> di-yerek ta’lîl yapmış ve Âdem’e secde etmenin kendisinden düştüğü hükmüne varmıştır. Bu nedenle kıyâs ve hükümlerin talili İblis’in dinidir. Bu din ise Allah’ın dinine muhaliftir.</w:t>
      </w:r>
      <w:r>
        <w:rPr>
          <w:rFonts w:ascii="Times New Roman" w:eastAsia="Times New Roman" w:hAnsi="Times New Roman"/>
          <w:sz w:val="12"/>
        </w:rPr>
        <w:t>36</w:t>
      </w:r>
    </w:p>
    <w:p w:rsidR="00E267A6" w:rsidRDefault="00E267A6" w:rsidP="00E267A6">
      <w:pPr>
        <w:spacing w:line="5" w:lineRule="exact"/>
        <w:rPr>
          <w:rFonts w:ascii="Times New Roman" w:eastAsia="Times New Roman" w:hAnsi="Times New Roman"/>
        </w:rPr>
      </w:pPr>
    </w:p>
    <w:p w:rsidR="00E267A6" w:rsidRDefault="00E267A6" w:rsidP="00E267A6">
      <w:pPr>
        <w:spacing w:line="307" w:lineRule="auto"/>
        <w:ind w:left="6" w:firstLine="284"/>
        <w:jc w:val="both"/>
        <w:rPr>
          <w:rFonts w:ascii="Times New Roman" w:eastAsia="Times New Roman" w:hAnsi="Times New Roman"/>
          <w:sz w:val="21"/>
        </w:rPr>
      </w:pPr>
      <w:r>
        <w:rPr>
          <w:rFonts w:ascii="Times New Roman" w:eastAsia="Times New Roman" w:hAnsi="Times New Roman"/>
          <w:sz w:val="21"/>
        </w:rPr>
        <w:t>İbn Hazm, İblis ile Adem arasındaki muhaverelerden hareketle Adem’in de ta’lîl ve kıyâs konusunda İblis’e uyduğunu söylemektedir. İbn Hazm, Adem’in Allah’a isyân ederken iki hata yaptığından bahsetmektedir. Bu ha-talardan ilki, ağaca yaklaşmaması emredildiğinde Adem’in Rabbinin nehyini vücûba hamletmeyi terk etmesidir. Başka bir deyişle zâhirî anlamı terk etmiş olmasıdır. İkincisi ise, İblis’in Allah’ın nehyinin illeti ile ilgili olarak söylediği</w:t>
      </w:r>
    </w:p>
    <w:p w:rsidR="00E267A6" w:rsidRDefault="00E267A6" w:rsidP="00E267A6">
      <w:pPr>
        <w:spacing w:line="20" w:lineRule="exact"/>
        <w:rPr>
          <w:rFonts w:ascii="Times New Roman" w:eastAsia="Times New Roman" w:hAnsi="Times New Roman"/>
        </w:rPr>
      </w:pPr>
      <w:r>
        <w:rPr>
          <w:rFonts w:ascii="Times New Roman" w:eastAsia="Times New Roman" w:hAnsi="Times New Roman"/>
          <w:sz w:val="21"/>
        </w:rPr>
        <w:pict>
          <v:line id="_x0000_s1027" style="position:absolute;z-index:-251655168" from="0,7.5pt" to="141.7pt,7.5pt" o:userdrawn="t" strokeweight=".25pt"/>
        </w:pict>
      </w:r>
    </w:p>
    <w:p w:rsidR="00E267A6" w:rsidRDefault="00E267A6" w:rsidP="00E267A6">
      <w:pPr>
        <w:spacing w:line="162" w:lineRule="exact"/>
        <w:rPr>
          <w:rFonts w:ascii="Times New Roman" w:eastAsia="Times New Roman" w:hAnsi="Times New Roman"/>
        </w:rPr>
      </w:pPr>
    </w:p>
    <w:p w:rsidR="00E267A6" w:rsidRDefault="00E267A6" w:rsidP="00E267A6">
      <w:pPr>
        <w:numPr>
          <w:ilvl w:val="0"/>
          <w:numId w:val="8"/>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Hacvî, III/24.</w:t>
      </w:r>
    </w:p>
    <w:p w:rsidR="00E267A6" w:rsidRDefault="00E267A6" w:rsidP="00E267A6">
      <w:pPr>
        <w:spacing w:line="24" w:lineRule="exact"/>
        <w:rPr>
          <w:rFonts w:ascii="Times New Roman" w:eastAsia="Times New Roman" w:hAnsi="Times New Roman"/>
          <w:sz w:val="16"/>
        </w:rPr>
      </w:pPr>
    </w:p>
    <w:p w:rsidR="00E267A6" w:rsidRDefault="00E267A6" w:rsidP="00E267A6">
      <w:pPr>
        <w:numPr>
          <w:ilvl w:val="0"/>
          <w:numId w:val="8"/>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Hacvî, III/23.</w:t>
      </w:r>
    </w:p>
    <w:p w:rsidR="00E267A6" w:rsidRDefault="00E267A6" w:rsidP="00E267A6">
      <w:pPr>
        <w:spacing w:line="8" w:lineRule="exact"/>
        <w:rPr>
          <w:rFonts w:ascii="Times New Roman" w:eastAsia="Times New Roman" w:hAnsi="Times New Roman"/>
          <w:sz w:val="16"/>
        </w:rPr>
      </w:pPr>
    </w:p>
    <w:p w:rsidR="00E267A6" w:rsidRDefault="00E267A6" w:rsidP="00E267A6">
      <w:pPr>
        <w:numPr>
          <w:ilvl w:val="0"/>
          <w:numId w:val="8"/>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7. A’râf, 12.</w:t>
      </w:r>
    </w:p>
    <w:p w:rsidR="00E267A6" w:rsidRDefault="00E267A6" w:rsidP="00E267A6">
      <w:pPr>
        <w:spacing w:line="8" w:lineRule="exact"/>
        <w:rPr>
          <w:rFonts w:ascii="Times New Roman" w:eastAsia="Times New Roman" w:hAnsi="Times New Roman"/>
          <w:sz w:val="16"/>
        </w:rPr>
      </w:pPr>
    </w:p>
    <w:p w:rsidR="00E267A6" w:rsidRDefault="00E267A6" w:rsidP="00E267A6">
      <w:pPr>
        <w:numPr>
          <w:ilvl w:val="0"/>
          <w:numId w:val="8"/>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 xml:space="preserve">İbn Hazm, </w:t>
      </w:r>
      <w:r>
        <w:rPr>
          <w:rFonts w:ascii="Times New Roman" w:eastAsia="Times New Roman" w:hAnsi="Times New Roman"/>
          <w:i/>
          <w:sz w:val="16"/>
        </w:rPr>
        <w:t>el-İhkâm</w:t>
      </w:r>
      <w:r>
        <w:rPr>
          <w:rFonts w:ascii="Times New Roman" w:eastAsia="Times New Roman" w:hAnsi="Times New Roman"/>
          <w:sz w:val="16"/>
        </w:rPr>
        <w:t>, II/574.</w:t>
      </w:r>
    </w:p>
    <w:p w:rsidR="00E267A6" w:rsidRDefault="00E267A6" w:rsidP="00E267A6">
      <w:pPr>
        <w:tabs>
          <w:tab w:val="left" w:pos="226"/>
        </w:tabs>
        <w:spacing w:line="0" w:lineRule="atLeast"/>
        <w:ind w:left="226" w:hanging="226"/>
        <w:rPr>
          <w:rFonts w:ascii="Times New Roman" w:eastAsia="Times New Roman" w:hAnsi="Times New Roman"/>
          <w:sz w:val="16"/>
        </w:rPr>
        <w:sectPr w:rsidR="00E267A6">
          <w:pgSz w:w="9240" w:h="13663"/>
          <w:pgMar w:top="1248" w:right="1301" w:bottom="699" w:left="1134" w:header="0" w:footer="0" w:gutter="0"/>
          <w:cols w:space="0" w:equalWidth="0">
            <w:col w:w="6806"/>
          </w:cols>
          <w:docGrid w:linePitch="360"/>
        </w:sectPr>
      </w:pPr>
    </w:p>
    <w:p w:rsidR="00E267A6" w:rsidRDefault="00E267A6" w:rsidP="00E267A6">
      <w:pPr>
        <w:tabs>
          <w:tab w:val="left" w:pos="5840"/>
        </w:tabs>
        <w:spacing w:line="0" w:lineRule="atLeast"/>
        <w:rPr>
          <w:rFonts w:ascii="Times New Roman" w:eastAsia="Times New Roman" w:hAnsi="Times New Roman"/>
          <w:i/>
          <w:sz w:val="13"/>
        </w:rPr>
      </w:pPr>
      <w:bookmarkStart w:id="1" w:name="page10"/>
      <w:bookmarkEnd w:id="1"/>
      <w:r>
        <w:rPr>
          <w:rFonts w:ascii="Times New Roman" w:eastAsia="Times New Roman" w:hAnsi="Times New Roman"/>
          <w:sz w:val="17"/>
        </w:rPr>
        <w:lastRenderedPageBreak/>
        <w:t>146</w:t>
      </w:r>
      <w:r>
        <w:rPr>
          <w:rFonts w:ascii="Times New Roman" w:eastAsia="Times New Roman" w:hAnsi="Times New Roman"/>
        </w:rPr>
        <w:tab/>
      </w:r>
      <w:r>
        <w:rPr>
          <w:rFonts w:ascii="Times New Roman" w:eastAsia="Times New Roman" w:hAnsi="Times New Roman"/>
          <w:i/>
          <w:sz w:val="13"/>
        </w:rPr>
        <w:t>OĞUZHAN TAN</w:t>
      </w:r>
    </w:p>
    <w:p w:rsidR="00E267A6" w:rsidRDefault="00E267A6" w:rsidP="00E267A6">
      <w:pPr>
        <w:spacing w:line="200" w:lineRule="exact"/>
        <w:rPr>
          <w:rFonts w:ascii="Times New Roman" w:eastAsia="Times New Roman" w:hAnsi="Times New Roman"/>
        </w:rPr>
      </w:pPr>
    </w:p>
    <w:p w:rsidR="00E267A6" w:rsidRDefault="00E267A6" w:rsidP="00E267A6">
      <w:pPr>
        <w:spacing w:line="200" w:lineRule="exact"/>
        <w:rPr>
          <w:rFonts w:ascii="Times New Roman" w:eastAsia="Times New Roman" w:hAnsi="Times New Roman"/>
        </w:rPr>
      </w:pPr>
    </w:p>
    <w:p w:rsidR="00E267A6" w:rsidRDefault="00E267A6" w:rsidP="00E267A6">
      <w:pPr>
        <w:spacing w:line="254" w:lineRule="exact"/>
        <w:rPr>
          <w:rFonts w:ascii="Times New Roman" w:eastAsia="Times New Roman" w:hAnsi="Times New Roman"/>
        </w:rPr>
      </w:pPr>
    </w:p>
    <w:p w:rsidR="00E267A6" w:rsidRDefault="00E267A6" w:rsidP="00E267A6">
      <w:pPr>
        <w:spacing w:line="284" w:lineRule="auto"/>
        <w:jc w:val="both"/>
        <w:rPr>
          <w:rFonts w:ascii="Times New Roman" w:eastAsia="Times New Roman" w:hAnsi="Times New Roman"/>
          <w:sz w:val="12"/>
        </w:rPr>
      </w:pPr>
      <w:r>
        <w:rPr>
          <w:rFonts w:ascii="Times New Roman" w:eastAsia="Times New Roman" w:hAnsi="Times New Roman"/>
          <w:sz w:val="22"/>
        </w:rPr>
        <w:t>şeye inanmasıdır. Zira İblis “Allah’ın sizi bu ağaçtan men etmesi iki melek olmamanız veya ebediyen yaşamamanız içindir”</w:t>
      </w:r>
      <w:r>
        <w:rPr>
          <w:rFonts w:ascii="Times New Roman" w:eastAsia="Times New Roman" w:hAnsi="Times New Roman"/>
          <w:sz w:val="12"/>
        </w:rPr>
        <w:t>37</w:t>
      </w:r>
      <w:r>
        <w:rPr>
          <w:rFonts w:ascii="Times New Roman" w:eastAsia="Times New Roman" w:hAnsi="Times New Roman"/>
          <w:sz w:val="22"/>
        </w:rPr>
        <w:t xml:space="preserve"> demiştir.</w:t>
      </w:r>
      <w:r>
        <w:rPr>
          <w:rFonts w:ascii="Times New Roman" w:eastAsia="Times New Roman" w:hAnsi="Times New Roman"/>
          <w:sz w:val="12"/>
        </w:rPr>
        <w:t>38</w:t>
      </w:r>
    </w:p>
    <w:p w:rsidR="00E267A6" w:rsidRDefault="00E267A6" w:rsidP="00E267A6">
      <w:pPr>
        <w:spacing w:line="1" w:lineRule="exact"/>
        <w:rPr>
          <w:rFonts w:ascii="Times New Roman" w:eastAsia="Times New Roman" w:hAnsi="Times New Roman"/>
        </w:rPr>
      </w:pPr>
    </w:p>
    <w:p w:rsidR="00E267A6" w:rsidRDefault="00E267A6" w:rsidP="00E267A6">
      <w:pPr>
        <w:spacing w:line="284" w:lineRule="auto"/>
        <w:ind w:firstLine="284"/>
        <w:jc w:val="both"/>
        <w:rPr>
          <w:rFonts w:ascii="Times New Roman" w:eastAsia="Times New Roman" w:hAnsi="Times New Roman"/>
          <w:sz w:val="12"/>
        </w:rPr>
      </w:pPr>
      <w:r>
        <w:rPr>
          <w:rFonts w:ascii="Times New Roman" w:eastAsia="Times New Roman" w:hAnsi="Times New Roman"/>
          <w:sz w:val="22"/>
        </w:rPr>
        <w:t>Ancak Dâvûd b. Alî’nin iki noktada, kıyâsın reddi konusundaki bu genel bakış açısından ayrıldığı söylenmektedir. Bunlardan ilki, Dâvûd b. Alî’nin sadece kıyâs-ı hafîyi reddettiği, kıyâs-ı celîyi ise reddetmediği şeklindeki iddiadır.</w:t>
      </w:r>
      <w:r>
        <w:rPr>
          <w:rFonts w:ascii="Times New Roman" w:eastAsia="Times New Roman" w:hAnsi="Times New Roman"/>
          <w:sz w:val="12"/>
        </w:rPr>
        <w:t>39</w:t>
      </w:r>
      <w:r>
        <w:rPr>
          <w:rFonts w:ascii="Times New Roman" w:eastAsia="Times New Roman" w:hAnsi="Times New Roman"/>
          <w:sz w:val="22"/>
        </w:rPr>
        <w:t xml:space="preserve"> Bu iddiaya göre, Zâhirî anlayış içerisinde ister celî ister hafî her iki kıyâsı da ilk olarak reddeden İbn Hazm’dır.</w:t>
      </w:r>
      <w:r>
        <w:rPr>
          <w:rFonts w:ascii="Times New Roman" w:eastAsia="Times New Roman" w:hAnsi="Times New Roman"/>
          <w:sz w:val="12"/>
        </w:rPr>
        <w:t>40</w:t>
      </w:r>
      <w:r>
        <w:rPr>
          <w:rFonts w:ascii="Times New Roman" w:eastAsia="Times New Roman" w:hAnsi="Times New Roman"/>
          <w:sz w:val="22"/>
        </w:rPr>
        <w:t xml:space="preserve"> İkinci husus ise Dâvûd’un, nass ile beyan edilen illet (</w:t>
      </w:r>
      <w:r>
        <w:rPr>
          <w:rFonts w:ascii="Times New Roman" w:eastAsia="Times New Roman" w:hAnsi="Times New Roman"/>
          <w:i/>
          <w:sz w:val="22"/>
        </w:rPr>
        <w:t>illet-i mansûsa)</w:t>
      </w:r>
      <w:r>
        <w:rPr>
          <w:rFonts w:ascii="Times New Roman" w:eastAsia="Times New Roman" w:hAnsi="Times New Roman"/>
          <w:sz w:val="22"/>
        </w:rPr>
        <w:t xml:space="preserve"> olduğu takdirde kıyâsı meşru gördüğü şeklindeki iddiadır.</w:t>
      </w:r>
      <w:r>
        <w:rPr>
          <w:rFonts w:ascii="Times New Roman" w:eastAsia="Times New Roman" w:hAnsi="Times New Roman"/>
          <w:sz w:val="12"/>
        </w:rPr>
        <w:t>41</w:t>
      </w:r>
    </w:p>
    <w:p w:rsidR="00E267A6" w:rsidRDefault="00E267A6" w:rsidP="00E267A6">
      <w:pPr>
        <w:spacing w:line="4" w:lineRule="exact"/>
        <w:rPr>
          <w:rFonts w:ascii="Times New Roman" w:eastAsia="Times New Roman" w:hAnsi="Times New Roman"/>
        </w:rPr>
      </w:pPr>
    </w:p>
    <w:p w:rsidR="00E267A6" w:rsidRDefault="00E267A6" w:rsidP="00E267A6">
      <w:pPr>
        <w:spacing w:line="284" w:lineRule="auto"/>
        <w:ind w:firstLine="284"/>
        <w:jc w:val="both"/>
        <w:rPr>
          <w:rFonts w:ascii="Times New Roman" w:eastAsia="Times New Roman" w:hAnsi="Times New Roman"/>
          <w:sz w:val="12"/>
        </w:rPr>
      </w:pPr>
      <w:r>
        <w:rPr>
          <w:rFonts w:ascii="Times New Roman" w:eastAsia="Times New Roman" w:hAnsi="Times New Roman"/>
          <w:sz w:val="22"/>
        </w:rPr>
        <w:t>Tâcuddîn es-Sübkî, babasından (Takıyyüddîn es-Sübkî’den) Dâvûd’un kıyâs-ı celîyi reddetmediğini işittiğini, ancak Müzenî’nin eleştirilerine ce-vaben yazmış olduğu risalede Dâvûd’un kıyâsın herhangi bir şeklini kabul ettiğine dair hiçbir ifadenin bulunmadığını söylemekte, aksine söz konusu ri-saleden açıkça söylemese de Dâvûd’un kıyâsı tamamen reddettiği sonucunu çıkardığını belirtmektedir. Bu durumda Sübkî, Dâvûd’un bu risaledeki ifade-lerinin onun celî kıyâsı kabul ettiği şeklindeki iddiayı çürüttüğünü söylemiş olmaktadır.</w:t>
      </w:r>
      <w:r>
        <w:rPr>
          <w:rFonts w:ascii="Times New Roman" w:eastAsia="Times New Roman" w:hAnsi="Times New Roman"/>
          <w:sz w:val="12"/>
        </w:rPr>
        <w:t>42</w:t>
      </w:r>
      <w:r>
        <w:rPr>
          <w:rFonts w:ascii="Times New Roman" w:eastAsia="Times New Roman" w:hAnsi="Times New Roman"/>
          <w:sz w:val="22"/>
        </w:rPr>
        <w:t xml:space="preserve"> Âmidî’nin nakli de buna yakındır.</w:t>
      </w:r>
      <w:r>
        <w:rPr>
          <w:rFonts w:ascii="Times New Roman" w:eastAsia="Times New Roman" w:hAnsi="Times New Roman"/>
          <w:sz w:val="12"/>
        </w:rPr>
        <w:t>43</w:t>
      </w:r>
    </w:p>
    <w:p w:rsidR="00E267A6" w:rsidRDefault="00E267A6" w:rsidP="00E267A6">
      <w:pPr>
        <w:spacing w:line="1" w:lineRule="exact"/>
        <w:rPr>
          <w:rFonts w:ascii="Times New Roman" w:eastAsia="Times New Roman" w:hAnsi="Times New Roman"/>
        </w:rPr>
      </w:pPr>
    </w:p>
    <w:p w:rsidR="00E267A6" w:rsidRDefault="00E267A6" w:rsidP="00E267A6">
      <w:pPr>
        <w:spacing w:line="286" w:lineRule="auto"/>
        <w:ind w:firstLine="283"/>
        <w:jc w:val="both"/>
        <w:rPr>
          <w:rFonts w:ascii="Times New Roman" w:eastAsia="Times New Roman" w:hAnsi="Times New Roman"/>
          <w:sz w:val="22"/>
        </w:rPr>
      </w:pPr>
      <w:r>
        <w:rPr>
          <w:rFonts w:ascii="Times New Roman" w:eastAsia="Times New Roman" w:hAnsi="Times New Roman"/>
          <w:sz w:val="22"/>
        </w:rPr>
        <w:t xml:space="preserve">Sübkî, Dâvûd’un </w:t>
      </w:r>
      <w:r>
        <w:rPr>
          <w:rFonts w:ascii="Times New Roman" w:eastAsia="Times New Roman" w:hAnsi="Times New Roman"/>
          <w:i/>
          <w:sz w:val="22"/>
        </w:rPr>
        <w:t>el-Usûl</w:t>
      </w:r>
      <w:r>
        <w:rPr>
          <w:rFonts w:ascii="Times New Roman" w:eastAsia="Times New Roman" w:hAnsi="Times New Roman"/>
          <w:sz w:val="22"/>
        </w:rPr>
        <w:t xml:space="preserve"> adını verdiğini söylediği eserinden onun usûlünün özünü oluşturan şu sözleri nakletmektedir:</w:t>
      </w:r>
    </w:p>
    <w:p w:rsidR="00E267A6" w:rsidRDefault="00E267A6" w:rsidP="00E267A6">
      <w:pPr>
        <w:spacing w:line="1" w:lineRule="exact"/>
        <w:rPr>
          <w:rFonts w:ascii="Times New Roman" w:eastAsia="Times New Roman" w:hAnsi="Times New Roman"/>
        </w:rPr>
      </w:pPr>
    </w:p>
    <w:p w:rsidR="00E267A6" w:rsidRDefault="00E267A6" w:rsidP="00E267A6">
      <w:pPr>
        <w:spacing w:line="291" w:lineRule="auto"/>
        <w:ind w:left="580" w:right="280"/>
        <w:jc w:val="both"/>
        <w:rPr>
          <w:rFonts w:ascii="Times New Roman" w:eastAsia="Times New Roman" w:hAnsi="Times New Roman"/>
          <w:sz w:val="11"/>
        </w:rPr>
      </w:pPr>
      <w:r>
        <w:rPr>
          <w:rFonts w:ascii="Times New Roman" w:eastAsia="Times New Roman" w:hAnsi="Times New Roman"/>
        </w:rPr>
        <w:t xml:space="preserve">Kıyâsla hükmetmek gerekli değildir. İstihsan ise caiz değildir. Hz. Peygamber bir şeyi haram kıldıktan sonra başka birinin onun haram kılmadığı bir şeyi, haram kılınan şeye benziyor diye haram kılması caiz değildir. Ancak Hz. Peygamber’in haram kılma </w:t>
      </w:r>
      <w:r>
        <w:rPr>
          <w:rFonts w:ascii="Times New Roman" w:eastAsia="Times New Roman" w:hAnsi="Times New Roman"/>
          <w:i/>
        </w:rPr>
        <w:t>illet</w:t>
      </w:r>
      <w:r>
        <w:rPr>
          <w:rFonts w:ascii="Times New Roman" w:eastAsia="Times New Roman" w:hAnsi="Times New Roman"/>
        </w:rPr>
        <w:t>ini bize bildirmesi durumu müstesnadır. Mesela “buğdayla buğdayın satışı haram kılındı çünkü buğday keylîdir” veya “bu elbiseyi yıka çünkü üzerinde kan var” denirse, böylece hükmün bağlı olduğu sebep bilinmiş olur.</w:t>
      </w:r>
      <w:r>
        <w:rPr>
          <w:rFonts w:ascii="Times New Roman" w:eastAsia="Times New Roman" w:hAnsi="Times New Roman"/>
          <w:sz w:val="11"/>
        </w:rPr>
        <w:t>44</w:t>
      </w:r>
    </w:p>
    <w:p w:rsidR="00E267A6" w:rsidRDefault="00E267A6" w:rsidP="00E267A6">
      <w:pPr>
        <w:spacing w:line="4" w:lineRule="exact"/>
        <w:rPr>
          <w:rFonts w:ascii="Times New Roman" w:eastAsia="Times New Roman" w:hAnsi="Times New Roman"/>
        </w:rPr>
      </w:pPr>
    </w:p>
    <w:p w:rsidR="00E267A6" w:rsidRDefault="00E267A6" w:rsidP="00E267A6">
      <w:pPr>
        <w:spacing w:line="346" w:lineRule="auto"/>
        <w:ind w:firstLine="283"/>
        <w:rPr>
          <w:rFonts w:ascii="Times New Roman" w:eastAsia="Times New Roman" w:hAnsi="Times New Roman"/>
          <w:sz w:val="21"/>
        </w:rPr>
      </w:pPr>
      <w:r>
        <w:rPr>
          <w:rFonts w:ascii="Times New Roman" w:eastAsia="Times New Roman" w:hAnsi="Times New Roman"/>
          <w:sz w:val="21"/>
        </w:rPr>
        <w:t xml:space="preserve">Dâvûd’un bu ifadelerinden </w:t>
      </w:r>
      <w:r>
        <w:rPr>
          <w:rFonts w:ascii="Times New Roman" w:eastAsia="Times New Roman" w:hAnsi="Times New Roman"/>
          <w:i/>
          <w:sz w:val="21"/>
        </w:rPr>
        <w:t>illet-i mansûsa</w:t>
      </w:r>
      <w:r>
        <w:rPr>
          <w:rFonts w:ascii="Times New Roman" w:eastAsia="Times New Roman" w:hAnsi="Times New Roman"/>
          <w:sz w:val="21"/>
        </w:rPr>
        <w:t xml:space="preserve"> hakkındaki görüşü ile ilgili ola-rak da bir çıkarım yapan Sübkî, bu konudaki iddiayı haklı bularak illeti nass ile</w:t>
      </w:r>
    </w:p>
    <w:p w:rsidR="00E267A6" w:rsidRDefault="00E267A6" w:rsidP="00E267A6">
      <w:pPr>
        <w:spacing w:line="20" w:lineRule="exact"/>
        <w:rPr>
          <w:rFonts w:ascii="Times New Roman" w:eastAsia="Times New Roman" w:hAnsi="Times New Roman"/>
        </w:rPr>
      </w:pPr>
      <w:r>
        <w:rPr>
          <w:rFonts w:ascii="Times New Roman" w:eastAsia="Times New Roman" w:hAnsi="Times New Roman"/>
          <w:sz w:val="21"/>
        </w:rPr>
        <w:pict>
          <v:line id="_x0000_s1028" style="position:absolute;z-index:-251654144" from=".15pt,19.15pt" to="141.9pt,19.15pt" o:userdrawn="t" strokeweight=".25pt"/>
        </w:pict>
      </w:r>
    </w:p>
    <w:p w:rsidR="00E267A6" w:rsidRDefault="00E267A6" w:rsidP="00E267A6">
      <w:pPr>
        <w:spacing w:line="395" w:lineRule="exact"/>
        <w:rPr>
          <w:rFonts w:ascii="Times New Roman" w:eastAsia="Times New Roman" w:hAnsi="Times New Roman"/>
        </w:rPr>
      </w:pPr>
    </w:p>
    <w:p w:rsidR="00E267A6" w:rsidRDefault="00E267A6" w:rsidP="00E267A6">
      <w:pPr>
        <w:numPr>
          <w:ilvl w:val="0"/>
          <w:numId w:val="9"/>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7. A’râf, 19-23</w:t>
      </w:r>
    </w:p>
    <w:p w:rsidR="00E267A6" w:rsidRDefault="00E267A6" w:rsidP="00E267A6">
      <w:pPr>
        <w:spacing w:line="24" w:lineRule="exact"/>
        <w:rPr>
          <w:rFonts w:ascii="Times New Roman" w:eastAsia="Times New Roman" w:hAnsi="Times New Roman"/>
          <w:sz w:val="16"/>
        </w:rPr>
      </w:pPr>
    </w:p>
    <w:p w:rsidR="00E267A6" w:rsidRDefault="00E267A6" w:rsidP="00E267A6">
      <w:pPr>
        <w:numPr>
          <w:ilvl w:val="0"/>
          <w:numId w:val="9"/>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İbn Hazm</w:t>
      </w:r>
      <w:r>
        <w:rPr>
          <w:rFonts w:ascii="Times New Roman" w:eastAsia="Times New Roman" w:hAnsi="Times New Roman"/>
          <w:i/>
          <w:sz w:val="16"/>
        </w:rPr>
        <w:t>, el-İhkâm</w:t>
      </w:r>
      <w:r>
        <w:rPr>
          <w:rFonts w:ascii="Times New Roman" w:eastAsia="Times New Roman" w:hAnsi="Times New Roman"/>
          <w:sz w:val="16"/>
        </w:rPr>
        <w:t>, II/574.</w:t>
      </w:r>
    </w:p>
    <w:p w:rsidR="00E267A6" w:rsidRDefault="00E267A6" w:rsidP="00E267A6">
      <w:pPr>
        <w:spacing w:line="8" w:lineRule="exact"/>
        <w:rPr>
          <w:rFonts w:ascii="Times New Roman" w:eastAsia="Times New Roman" w:hAnsi="Times New Roman"/>
          <w:sz w:val="16"/>
        </w:rPr>
      </w:pPr>
    </w:p>
    <w:p w:rsidR="00E267A6" w:rsidRDefault="00E267A6" w:rsidP="00E267A6">
      <w:pPr>
        <w:numPr>
          <w:ilvl w:val="0"/>
          <w:numId w:val="9"/>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Ahmed Emîn, </w:t>
      </w:r>
      <w:r>
        <w:rPr>
          <w:rFonts w:ascii="Times New Roman" w:eastAsia="Times New Roman" w:hAnsi="Times New Roman"/>
          <w:i/>
          <w:sz w:val="16"/>
        </w:rPr>
        <w:t>Duha’l-İslâm</w:t>
      </w:r>
      <w:r>
        <w:rPr>
          <w:rFonts w:ascii="Times New Roman" w:eastAsia="Times New Roman" w:hAnsi="Times New Roman"/>
          <w:sz w:val="16"/>
        </w:rPr>
        <w:t>, II/236.</w:t>
      </w:r>
    </w:p>
    <w:p w:rsidR="00E267A6" w:rsidRDefault="00E267A6" w:rsidP="00E267A6">
      <w:pPr>
        <w:spacing w:line="8" w:lineRule="exact"/>
        <w:rPr>
          <w:rFonts w:ascii="Times New Roman" w:eastAsia="Times New Roman" w:hAnsi="Times New Roman"/>
          <w:sz w:val="16"/>
        </w:rPr>
      </w:pPr>
    </w:p>
    <w:p w:rsidR="00E267A6" w:rsidRDefault="00E267A6" w:rsidP="00E267A6">
      <w:pPr>
        <w:numPr>
          <w:ilvl w:val="0"/>
          <w:numId w:val="9"/>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Sübkî, II/290.</w:t>
      </w:r>
    </w:p>
    <w:p w:rsidR="00E267A6" w:rsidRDefault="00E267A6" w:rsidP="00E267A6">
      <w:pPr>
        <w:spacing w:line="8" w:lineRule="exact"/>
        <w:rPr>
          <w:rFonts w:ascii="Times New Roman" w:eastAsia="Times New Roman" w:hAnsi="Times New Roman"/>
          <w:sz w:val="16"/>
        </w:rPr>
      </w:pPr>
    </w:p>
    <w:p w:rsidR="00E267A6" w:rsidRDefault="00E267A6" w:rsidP="00E267A6">
      <w:pPr>
        <w:numPr>
          <w:ilvl w:val="0"/>
          <w:numId w:val="9"/>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Ahmed Emîn, </w:t>
      </w:r>
      <w:r>
        <w:rPr>
          <w:rFonts w:ascii="Times New Roman" w:eastAsia="Times New Roman" w:hAnsi="Times New Roman"/>
          <w:i/>
          <w:sz w:val="16"/>
        </w:rPr>
        <w:t>Duha’l-İslâm</w:t>
      </w:r>
      <w:r>
        <w:rPr>
          <w:rFonts w:ascii="Times New Roman" w:eastAsia="Times New Roman" w:hAnsi="Times New Roman"/>
          <w:sz w:val="16"/>
        </w:rPr>
        <w:t>, II/242.</w:t>
      </w:r>
    </w:p>
    <w:p w:rsidR="00E267A6" w:rsidRDefault="00E267A6" w:rsidP="00E267A6">
      <w:pPr>
        <w:spacing w:line="8" w:lineRule="exact"/>
        <w:rPr>
          <w:rFonts w:ascii="Times New Roman" w:eastAsia="Times New Roman" w:hAnsi="Times New Roman"/>
          <w:sz w:val="16"/>
        </w:rPr>
      </w:pPr>
    </w:p>
    <w:p w:rsidR="00E267A6" w:rsidRDefault="00E267A6" w:rsidP="00E267A6">
      <w:pPr>
        <w:numPr>
          <w:ilvl w:val="0"/>
          <w:numId w:val="9"/>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Sübkî, II/290.</w:t>
      </w:r>
    </w:p>
    <w:p w:rsidR="00E267A6" w:rsidRDefault="00E267A6" w:rsidP="00E267A6">
      <w:pPr>
        <w:spacing w:line="8" w:lineRule="exact"/>
        <w:rPr>
          <w:rFonts w:ascii="Times New Roman" w:eastAsia="Times New Roman" w:hAnsi="Times New Roman"/>
          <w:sz w:val="16"/>
        </w:rPr>
      </w:pPr>
    </w:p>
    <w:p w:rsidR="00E267A6" w:rsidRDefault="00E267A6" w:rsidP="00E267A6">
      <w:pPr>
        <w:numPr>
          <w:ilvl w:val="0"/>
          <w:numId w:val="9"/>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Âmidî, II/64.</w:t>
      </w:r>
    </w:p>
    <w:p w:rsidR="00E267A6" w:rsidRDefault="00E267A6" w:rsidP="00E267A6">
      <w:pPr>
        <w:spacing w:line="8" w:lineRule="exact"/>
        <w:rPr>
          <w:rFonts w:ascii="Times New Roman" w:eastAsia="Times New Roman" w:hAnsi="Times New Roman"/>
          <w:sz w:val="16"/>
        </w:rPr>
      </w:pPr>
    </w:p>
    <w:p w:rsidR="00E267A6" w:rsidRDefault="00E267A6" w:rsidP="00E267A6">
      <w:pPr>
        <w:numPr>
          <w:ilvl w:val="0"/>
          <w:numId w:val="9"/>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Sübkî, II/291.</w:t>
      </w:r>
    </w:p>
    <w:p w:rsidR="00E267A6" w:rsidRDefault="00E267A6" w:rsidP="00E267A6">
      <w:pPr>
        <w:tabs>
          <w:tab w:val="left" w:pos="240"/>
        </w:tabs>
        <w:spacing w:line="0" w:lineRule="atLeast"/>
        <w:ind w:left="240" w:hanging="236"/>
        <w:rPr>
          <w:rFonts w:ascii="Times New Roman" w:eastAsia="Times New Roman" w:hAnsi="Times New Roman"/>
          <w:sz w:val="16"/>
        </w:rPr>
        <w:sectPr w:rsidR="00E267A6">
          <w:pgSz w:w="9240" w:h="13663"/>
          <w:pgMar w:top="1237" w:right="1141" w:bottom="699" w:left="1300" w:header="0" w:footer="0" w:gutter="0"/>
          <w:cols w:space="0" w:equalWidth="0">
            <w:col w:w="6800"/>
          </w:cols>
          <w:docGrid w:linePitch="360"/>
        </w:sectPr>
      </w:pPr>
    </w:p>
    <w:tbl>
      <w:tblPr>
        <w:tblW w:w="0" w:type="auto"/>
        <w:tblInd w:w="6" w:type="dxa"/>
        <w:tblLayout w:type="fixed"/>
        <w:tblCellMar>
          <w:left w:w="0" w:type="dxa"/>
          <w:right w:w="0" w:type="dxa"/>
        </w:tblCellMar>
        <w:tblLook w:val="0000"/>
      </w:tblPr>
      <w:tblGrid>
        <w:gridCol w:w="5320"/>
        <w:gridCol w:w="1480"/>
      </w:tblGrid>
      <w:tr w:rsidR="00E267A6" w:rsidTr="000C5968">
        <w:trPr>
          <w:trHeight w:val="234"/>
        </w:trPr>
        <w:tc>
          <w:tcPr>
            <w:tcW w:w="5320" w:type="dxa"/>
            <w:shd w:val="clear" w:color="auto" w:fill="auto"/>
            <w:vAlign w:val="bottom"/>
          </w:tcPr>
          <w:p w:rsidR="00E267A6" w:rsidRDefault="00E267A6" w:rsidP="000C5968">
            <w:pPr>
              <w:spacing w:line="0" w:lineRule="atLeast"/>
              <w:rPr>
                <w:rFonts w:ascii="Times New Roman" w:eastAsia="Times New Roman" w:hAnsi="Times New Roman"/>
                <w:i/>
                <w:sz w:val="14"/>
              </w:rPr>
            </w:pPr>
            <w:bookmarkStart w:id="2" w:name="page11"/>
            <w:bookmarkEnd w:id="2"/>
            <w:r>
              <w:rPr>
                <w:rFonts w:ascii="Times New Roman" w:eastAsia="Times New Roman" w:hAnsi="Times New Roman"/>
                <w:i/>
                <w:sz w:val="14"/>
              </w:rPr>
              <w:lastRenderedPageBreak/>
              <w:t>Kökeni Oluşumu ve Algılanışı Bakımından İbn Hazm Öncesinde Zâhirîlik</w:t>
            </w:r>
          </w:p>
        </w:tc>
        <w:tc>
          <w:tcPr>
            <w:tcW w:w="1480" w:type="dxa"/>
            <w:shd w:val="clear" w:color="auto" w:fill="auto"/>
            <w:vAlign w:val="bottom"/>
          </w:tcPr>
          <w:p w:rsidR="00E267A6" w:rsidRDefault="00E267A6" w:rsidP="000C5968">
            <w:pPr>
              <w:spacing w:line="0" w:lineRule="atLeast"/>
              <w:jc w:val="right"/>
              <w:rPr>
                <w:rFonts w:ascii="Times New Roman" w:eastAsia="Times New Roman" w:hAnsi="Times New Roman"/>
                <w:sz w:val="18"/>
              </w:rPr>
            </w:pPr>
            <w:r>
              <w:rPr>
                <w:rFonts w:ascii="Times New Roman" w:eastAsia="Times New Roman" w:hAnsi="Times New Roman"/>
                <w:sz w:val="18"/>
              </w:rPr>
              <w:t>147</w:t>
            </w:r>
          </w:p>
        </w:tc>
      </w:tr>
    </w:tbl>
    <w:p w:rsidR="00E267A6" w:rsidRDefault="00E267A6" w:rsidP="00E267A6">
      <w:pPr>
        <w:spacing w:line="200" w:lineRule="exact"/>
        <w:rPr>
          <w:rFonts w:ascii="Times New Roman" w:eastAsia="Times New Roman" w:hAnsi="Times New Roman"/>
        </w:rPr>
      </w:pPr>
    </w:p>
    <w:p w:rsidR="00E267A6" w:rsidRDefault="00E267A6" w:rsidP="00E267A6">
      <w:pPr>
        <w:spacing w:line="200" w:lineRule="exact"/>
        <w:rPr>
          <w:rFonts w:ascii="Times New Roman" w:eastAsia="Times New Roman" w:hAnsi="Times New Roman"/>
        </w:rPr>
      </w:pPr>
    </w:p>
    <w:p w:rsidR="00E267A6" w:rsidRDefault="00E267A6" w:rsidP="00E267A6">
      <w:pPr>
        <w:spacing w:line="204" w:lineRule="exact"/>
        <w:rPr>
          <w:rFonts w:ascii="Times New Roman" w:eastAsia="Times New Roman" w:hAnsi="Times New Roman"/>
        </w:rPr>
      </w:pPr>
    </w:p>
    <w:p w:rsidR="00E267A6" w:rsidRDefault="00E267A6" w:rsidP="00E267A6">
      <w:pPr>
        <w:spacing w:line="298" w:lineRule="auto"/>
        <w:ind w:left="6"/>
        <w:jc w:val="both"/>
        <w:rPr>
          <w:rFonts w:ascii="Times New Roman" w:eastAsia="Times New Roman" w:hAnsi="Times New Roman"/>
          <w:sz w:val="21"/>
        </w:rPr>
      </w:pPr>
      <w:r>
        <w:rPr>
          <w:rFonts w:ascii="Times New Roman" w:eastAsia="Times New Roman" w:hAnsi="Times New Roman"/>
          <w:sz w:val="21"/>
        </w:rPr>
        <w:t>beyan edilen kıyâsı, Dâvûd’un kıyâs diye isimlendirmediğini söylemektedir.</w:t>
      </w:r>
      <w:r>
        <w:rPr>
          <w:rFonts w:ascii="Times New Roman" w:eastAsia="Times New Roman" w:hAnsi="Times New Roman"/>
          <w:sz w:val="12"/>
        </w:rPr>
        <w:t>45</w:t>
      </w:r>
      <w:r>
        <w:rPr>
          <w:rFonts w:ascii="Times New Roman" w:eastAsia="Times New Roman" w:hAnsi="Times New Roman"/>
          <w:sz w:val="21"/>
        </w:rPr>
        <w:t xml:space="preserve"> Onun “illet-i mansûsaya dayalı kıyâsı, kıyâs olarak isimlendirmemesi”, bunu lafzın delâleti çerçevesinde değerlendirdiğini göstermektedir.</w:t>
      </w:r>
    </w:p>
    <w:p w:rsidR="00D93C16" w:rsidRPr="00E267A6" w:rsidRDefault="00E267A6" w:rsidP="00E267A6"/>
    <w:sectPr w:rsidR="00D93C16" w:rsidRPr="00E267A6"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FDCC232"/>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1BEFD79E"/>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41A7C4C8"/>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4"/>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5"/>
    <w:multiLevelType w:val="hybridMultilevel"/>
    <w:tmpl w:val="2463B9EA"/>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6"/>
    <w:multiLevelType w:val="hybridMultilevel"/>
    <w:tmpl w:val="5E884ADC"/>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7"/>
    <w:multiLevelType w:val="hybridMultilevel"/>
    <w:tmpl w:val="51EAD36A"/>
    <w:lvl w:ilvl="0" w:tplc="FFFFFFFF">
      <w:start w:val="1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8"/>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9"/>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745A3"/>
    <w:rsid w:val="000745A3"/>
    <w:rsid w:val="002273C0"/>
    <w:rsid w:val="00354863"/>
    <w:rsid w:val="00402397"/>
    <w:rsid w:val="00534153"/>
    <w:rsid w:val="00680C6B"/>
    <w:rsid w:val="00CB305E"/>
    <w:rsid w:val="00E267A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A3"/>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3</cp:revision>
  <dcterms:created xsi:type="dcterms:W3CDTF">2020-07-17T16:18:00Z</dcterms:created>
  <dcterms:modified xsi:type="dcterms:W3CDTF">2020-07-17T22:32:00Z</dcterms:modified>
</cp:coreProperties>
</file>