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2BF" w:rsidRDefault="00F712BF" w:rsidP="00F712BF">
      <w:pPr>
        <w:spacing w:line="315" w:lineRule="auto"/>
        <w:ind w:left="6" w:firstLine="284"/>
        <w:jc w:val="both"/>
        <w:rPr>
          <w:rFonts w:ascii="Times New Roman" w:eastAsia="Times New Roman" w:hAnsi="Times New Roman"/>
          <w:sz w:val="22"/>
        </w:rPr>
      </w:pPr>
      <w:r>
        <w:rPr>
          <w:rFonts w:ascii="Times New Roman" w:eastAsia="Times New Roman" w:hAnsi="Times New Roman"/>
          <w:sz w:val="22"/>
        </w:rPr>
        <w:t>Dâvûd b. Alî’nin babası Hanefî mezhebi ile amel etmiştir.</w:t>
      </w:r>
      <w:r>
        <w:rPr>
          <w:rFonts w:ascii="Times New Roman" w:eastAsia="Times New Roman" w:hAnsi="Times New Roman"/>
          <w:sz w:val="12"/>
        </w:rPr>
        <w:t>62</w:t>
      </w:r>
      <w:r>
        <w:rPr>
          <w:rFonts w:ascii="Times New Roman" w:eastAsia="Times New Roman" w:hAnsi="Times New Roman"/>
          <w:sz w:val="22"/>
        </w:rPr>
        <w:t xml:space="preserve"> Kendisi ise ders aldığı hocalarının da etkisiyle olsa gerek Şafiî mezhebini benimsemiş,</w:t>
      </w:r>
    </w:p>
    <w:p w:rsidR="00F712BF" w:rsidRDefault="00F712BF" w:rsidP="00F712BF">
      <w:pPr>
        <w:spacing w:line="20" w:lineRule="exact"/>
        <w:rPr>
          <w:rFonts w:ascii="Times New Roman" w:eastAsia="Times New Roman" w:hAnsi="Times New Roman"/>
        </w:rPr>
      </w:pPr>
      <w:r>
        <w:rPr>
          <w:rFonts w:ascii="Times New Roman" w:eastAsia="Times New Roman" w:hAnsi="Times New Roman"/>
          <w:sz w:val="22"/>
        </w:rPr>
        <w:pict>
          <v:line id="_x0000_s1026" style="position:absolute;z-index:-251656192" from="0,17.8pt" to="141.7pt,17.8pt" o:userdrawn="t" strokeweight=".25pt"/>
        </w:pict>
      </w:r>
    </w:p>
    <w:p w:rsidR="00F712BF" w:rsidRDefault="00F712BF" w:rsidP="00F712BF">
      <w:pPr>
        <w:spacing w:line="368" w:lineRule="exact"/>
        <w:rPr>
          <w:rFonts w:ascii="Times New Roman" w:eastAsia="Times New Roman" w:hAnsi="Times New Roman"/>
        </w:rPr>
      </w:pPr>
    </w:p>
    <w:p w:rsidR="00F712BF" w:rsidRDefault="00F712BF" w:rsidP="00F712BF">
      <w:pPr>
        <w:numPr>
          <w:ilvl w:val="0"/>
          <w:numId w:val="10"/>
        </w:numPr>
        <w:tabs>
          <w:tab w:val="left" w:pos="226"/>
        </w:tabs>
        <w:spacing w:line="0" w:lineRule="atLeast"/>
        <w:ind w:left="226" w:hanging="226"/>
        <w:rPr>
          <w:rFonts w:ascii="Times New Roman" w:eastAsia="Times New Roman" w:hAnsi="Times New Roman"/>
          <w:sz w:val="16"/>
        </w:rPr>
      </w:pPr>
      <w:r>
        <w:rPr>
          <w:rFonts w:ascii="Times New Roman" w:eastAsia="Times New Roman" w:hAnsi="Times New Roman"/>
          <w:sz w:val="16"/>
        </w:rPr>
        <w:t>Hacvî, III/33.</w:t>
      </w:r>
    </w:p>
    <w:p w:rsidR="00F712BF" w:rsidRDefault="00F712BF" w:rsidP="00F712BF">
      <w:pPr>
        <w:spacing w:line="24" w:lineRule="exact"/>
        <w:rPr>
          <w:rFonts w:ascii="Times New Roman" w:eastAsia="Times New Roman" w:hAnsi="Times New Roman"/>
          <w:sz w:val="16"/>
        </w:rPr>
      </w:pPr>
    </w:p>
    <w:p w:rsidR="00F712BF" w:rsidRDefault="00F712BF" w:rsidP="00F712BF">
      <w:pPr>
        <w:numPr>
          <w:ilvl w:val="0"/>
          <w:numId w:val="10"/>
        </w:numPr>
        <w:tabs>
          <w:tab w:val="left" w:pos="226"/>
        </w:tabs>
        <w:spacing w:line="0" w:lineRule="atLeast"/>
        <w:ind w:left="226" w:hanging="226"/>
        <w:rPr>
          <w:rFonts w:ascii="Times New Roman" w:eastAsia="Times New Roman" w:hAnsi="Times New Roman"/>
          <w:sz w:val="16"/>
        </w:rPr>
      </w:pPr>
      <w:r>
        <w:rPr>
          <w:rFonts w:ascii="Times New Roman" w:eastAsia="Times New Roman" w:hAnsi="Times New Roman"/>
          <w:sz w:val="16"/>
        </w:rPr>
        <w:t>İbn Kesîr, XIV/138; Hacvî, III/33.</w:t>
      </w:r>
    </w:p>
    <w:p w:rsidR="00F712BF" w:rsidRDefault="00F712BF" w:rsidP="00F712BF">
      <w:pPr>
        <w:spacing w:line="8" w:lineRule="exact"/>
        <w:rPr>
          <w:rFonts w:ascii="Times New Roman" w:eastAsia="Times New Roman" w:hAnsi="Times New Roman"/>
          <w:sz w:val="16"/>
        </w:rPr>
      </w:pPr>
    </w:p>
    <w:p w:rsidR="00F712BF" w:rsidRDefault="00F712BF" w:rsidP="00F712BF">
      <w:pPr>
        <w:numPr>
          <w:ilvl w:val="0"/>
          <w:numId w:val="10"/>
        </w:numPr>
        <w:tabs>
          <w:tab w:val="left" w:pos="226"/>
        </w:tabs>
        <w:spacing w:line="0" w:lineRule="atLeast"/>
        <w:ind w:left="226" w:hanging="226"/>
        <w:rPr>
          <w:rFonts w:ascii="Times New Roman" w:eastAsia="Times New Roman" w:hAnsi="Times New Roman"/>
          <w:sz w:val="16"/>
        </w:rPr>
      </w:pPr>
      <w:r>
        <w:rPr>
          <w:rFonts w:ascii="Times New Roman" w:eastAsia="Times New Roman" w:hAnsi="Times New Roman"/>
          <w:sz w:val="16"/>
        </w:rPr>
        <w:t>Şâtıbî, III/540.</w:t>
      </w:r>
    </w:p>
    <w:p w:rsidR="00F712BF" w:rsidRDefault="00F712BF" w:rsidP="00F712BF">
      <w:pPr>
        <w:spacing w:line="8" w:lineRule="exact"/>
        <w:rPr>
          <w:rFonts w:ascii="Times New Roman" w:eastAsia="Times New Roman" w:hAnsi="Times New Roman"/>
          <w:sz w:val="16"/>
        </w:rPr>
      </w:pPr>
    </w:p>
    <w:p w:rsidR="00F712BF" w:rsidRDefault="00F712BF" w:rsidP="00F712BF">
      <w:pPr>
        <w:numPr>
          <w:ilvl w:val="0"/>
          <w:numId w:val="10"/>
        </w:numPr>
        <w:tabs>
          <w:tab w:val="left" w:pos="226"/>
        </w:tabs>
        <w:spacing w:line="0" w:lineRule="atLeast"/>
        <w:ind w:left="226" w:hanging="226"/>
        <w:rPr>
          <w:rFonts w:ascii="Times New Roman" w:eastAsia="Times New Roman" w:hAnsi="Times New Roman"/>
          <w:sz w:val="16"/>
        </w:rPr>
      </w:pPr>
      <w:r>
        <w:rPr>
          <w:rFonts w:ascii="Times New Roman" w:eastAsia="Times New Roman" w:hAnsi="Times New Roman"/>
          <w:sz w:val="16"/>
        </w:rPr>
        <w:t>Sübkî, II/293.</w:t>
      </w:r>
    </w:p>
    <w:p w:rsidR="00F712BF" w:rsidRDefault="00F712BF" w:rsidP="00F712BF">
      <w:pPr>
        <w:spacing w:line="8" w:lineRule="exact"/>
        <w:rPr>
          <w:rFonts w:ascii="Times New Roman" w:eastAsia="Times New Roman" w:hAnsi="Times New Roman"/>
          <w:sz w:val="16"/>
        </w:rPr>
      </w:pPr>
    </w:p>
    <w:p w:rsidR="00F712BF" w:rsidRDefault="00F712BF" w:rsidP="00F712BF">
      <w:pPr>
        <w:numPr>
          <w:ilvl w:val="0"/>
          <w:numId w:val="10"/>
        </w:numPr>
        <w:tabs>
          <w:tab w:val="left" w:pos="226"/>
        </w:tabs>
        <w:spacing w:line="0" w:lineRule="atLeast"/>
        <w:ind w:left="226" w:hanging="226"/>
        <w:rPr>
          <w:rFonts w:ascii="Times New Roman" w:eastAsia="Times New Roman" w:hAnsi="Times New Roman"/>
          <w:sz w:val="16"/>
        </w:rPr>
      </w:pPr>
      <w:r>
        <w:rPr>
          <w:rFonts w:ascii="Times New Roman" w:eastAsia="Times New Roman" w:hAnsi="Times New Roman"/>
          <w:sz w:val="16"/>
        </w:rPr>
        <w:t xml:space="preserve">Ahmed Emîn, </w:t>
      </w:r>
      <w:r>
        <w:rPr>
          <w:rFonts w:ascii="Times New Roman" w:eastAsia="Times New Roman" w:hAnsi="Times New Roman"/>
          <w:i/>
          <w:sz w:val="16"/>
        </w:rPr>
        <w:t>Zuhrul-İslâm</w:t>
      </w:r>
      <w:r>
        <w:rPr>
          <w:rFonts w:ascii="Times New Roman" w:eastAsia="Times New Roman" w:hAnsi="Times New Roman"/>
          <w:sz w:val="16"/>
        </w:rPr>
        <w:t>, III/53.</w:t>
      </w:r>
    </w:p>
    <w:p w:rsidR="00F712BF" w:rsidRDefault="00F712BF" w:rsidP="00F712BF">
      <w:pPr>
        <w:spacing w:line="8" w:lineRule="exact"/>
        <w:rPr>
          <w:rFonts w:ascii="Times New Roman" w:eastAsia="Times New Roman" w:hAnsi="Times New Roman"/>
          <w:sz w:val="16"/>
        </w:rPr>
      </w:pPr>
    </w:p>
    <w:p w:rsidR="00F712BF" w:rsidRDefault="00F712BF" w:rsidP="00F712BF">
      <w:pPr>
        <w:numPr>
          <w:ilvl w:val="0"/>
          <w:numId w:val="10"/>
        </w:numPr>
        <w:tabs>
          <w:tab w:val="left" w:pos="226"/>
        </w:tabs>
        <w:spacing w:line="0" w:lineRule="atLeast"/>
        <w:ind w:left="226" w:hanging="226"/>
        <w:rPr>
          <w:rFonts w:ascii="Times New Roman" w:eastAsia="Times New Roman" w:hAnsi="Times New Roman"/>
          <w:sz w:val="16"/>
        </w:rPr>
      </w:pPr>
      <w:r>
        <w:rPr>
          <w:rFonts w:ascii="Times New Roman" w:eastAsia="Times New Roman" w:hAnsi="Times New Roman"/>
          <w:sz w:val="16"/>
        </w:rPr>
        <w:t xml:space="preserve">İbn Hacer, </w:t>
      </w:r>
      <w:r>
        <w:rPr>
          <w:rFonts w:ascii="Times New Roman" w:eastAsia="Times New Roman" w:hAnsi="Times New Roman"/>
          <w:i/>
          <w:sz w:val="16"/>
        </w:rPr>
        <w:t>Mizânu’l-İtidal</w:t>
      </w:r>
      <w:r>
        <w:rPr>
          <w:rFonts w:ascii="Times New Roman" w:eastAsia="Times New Roman" w:hAnsi="Times New Roman"/>
          <w:sz w:val="16"/>
        </w:rPr>
        <w:t>, II/15; Safedî, XIII/298.</w:t>
      </w:r>
    </w:p>
    <w:p w:rsidR="00F712BF" w:rsidRDefault="00F712BF" w:rsidP="00F712BF">
      <w:pPr>
        <w:tabs>
          <w:tab w:val="left" w:pos="226"/>
        </w:tabs>
        <w:spacing w:line="0" w:lineRule="atLeast"/>
        <w:ind w:left="226" w:hanging="226"/>
        <w:rPr>
          <w:rFonts w:ascii="Times New Roman" w:eastAsia="Times New Roman" w:hAnsi="Times New Roman"/>
          <w:sz w:val="16"/>
        </w:rPr>
        <w:sectPr w:rsidR="00F712BF">
          <w:pgSz w:w="9240" w:h="13663"/>
          <w:pgMar w:top="1248" w:right="1301" w:bottom="699" w:left="1134" w:header="0" w:footer="0" w:gutter="0"/>
          <w:cols w:space="0" w:equalWidth="0">
            <w:col w:w="6806"/>
          </w:cols>
          <w:docGrid w:linePitch="360"/>
        </w:sectPr>
      </w:pPr>
    </w:p>
    <w:p w:rsidR="00F712BF" w:rsidRDefault="00F712BF" w:rsidP="00F712BF">
      <w:pPr>
        <w:tabs>
          <w:tab w:val="left" w:pos="5840"/>
        </w:tabs>
        <w:spacing w:line="0" w:lineRule="atLeast"/>
        <w:rPr>
          <w:rFonts w:ascii="Times New Roman" w:eastAsia="Times New Roman" w:hAnsi="Times New Roman"/>
          <w:i/>
          <w:sz w:val="13"/>
        </w:rPr>
      </w:pPr>
      <w:bookmarkStart w:id="0" w:name="page14"/>
      <w:bookmarkEnd w:id="0"/>
      <w:r>
        <w:rPr>
          <w:rFonts w:ascii="Times New Roman" w:eastAsia="Times New Roman" w:hAnsi="Times New Roman"/>
          <w:sz w:val="17"/>
        </w:rPr>
        <w:lastRenderedPageBreak/>
        <w:t>150</w:t>
      </w:r>
      <w:r>
        <w:rPr>
          <w:rFonts w:ascii="Times New Roman" w:eastAsia="Times New Roman" w:hAnsi="Times New Roman"/>
        </w:rPr>
        <w:tab/>
      </w:r>
      <w:r>
        <w:rPr>
          <w:rFonts w:ascii="Times New Roman" w:eastAsia="Times New Roman" w:hAnsi="Times New Roman"/>
          <w:i/>
          <w:sz w:val="13"/>
        </w:rPr>
        <w:t>OĞUZHAN TAN</w:t>
      </w:r>
    </w:p>
    <w:p w:rsidR="00F712BF" w:rsidRDefault="00F712BF" w:rsidP="00F712BF">
      <w:pPr>
        <w:spacing w:line="200" w:lineRule="exact"/>
        <w:rPr>
          <w:rFonts w:ascii="Times New Roman" w:eastAsia="Times New Roman" w:hAnsi="Times New Roman"/>
        </w:rPr>
      </w:pPr>
    </w:p>
    <w:p w:rsidR="00F712BF" w:rsidRDefault="00F712BF" w:rsidP="00F712BF">
      <w:pPr>
        <w:spacing w:line="200" w:lineRule="exact"/>
        <w:rPr>
          <w:rFonts w:ascii="Times New Roman" w:eastAsia="Times New Roman" w:hAnsi="Times New Roman"/>
        </w:rPr>
      </w:pPr>
    </w:p>
    <w:p w:rsidR="00F712BF" w:rsidRDefault="00F712BF" w:rsidP="00F712BF">
      <w:pPr>
        <w:spacing w:line="254" w:lineRule="exact"/>
        <w:rPr>
          <w:rFonts w:ascii="Times New Roman" w:eastAsia="Times New Roman" w:hAnsi="Times New Roman"/>
        </w:rPr>
      </w:pPr>
    </w:p>
    <w:p w:rsidR="00F712BF" w:rsidRDefault="00F712BF" w:rsidP="00F712BF">
      <w:pPr>
        <w:spacing w:line="275" w:lineRule="auto"/>
        <w:jc w:val="both"/>
        <w:rPr>
          <w:rFonts w:ascii="Times New Roman" w:eastAsia="Times New Roman" w:hAnsi="Times New Roman"/>
          <w:sz w:val="12"/>
        </w:rPr>
      </w:pPr>
      <w:proofErr w:type="gramStart"/>
      <w:r>
        <w:rPr>
          <w:rFonts w:ascii="Times New Roman" w:eastAsia="Times New Roman" w:hAnsi="Times New Roman"/>
          <w:sz w:val="22"/>
        </w:rPr>
        <w:t>hatta</w:t>
      </w:r>
      <w:proofErr w:type="gramEnd"/>
      <w:r>
        <w:rPr>
          <w:rFonts w:ascii="Times New Roman" w:eastAsia="Times New Roman" w:hAnsi="Times New Roman"/>
          <w:sz w:val="22"/>
        </w:rPr>
        <w:t xml:space="preserve"> başlangıçta bu mezhebin mutaassıplarından sayılmış ve İmâm Şâfiî’nin menkıbelerine dair bir eser</w:t>
      </w:r>
      <w:r>
        <w:rPr>
          <w:rFonts w:ascii="Times New Roman" w:eastAsia="Times New Roman" w:hAnsi="Times New Roman"/>
          <w:sz w:val="12"/>
        </w:rPr>
        <w:t>63</w:t>
      </w:r>
      <w:r>
        <w:rPr>
          <w:rFonts w:ascii="Times New Roman" w:eastAsia="Times New Roman" w:hAnsi="Times New Roman"/>
          <w:sz w:val="22"/>
        </w:rPr>
        <w:t xml:space="preserve"> yazmıştır.</w:t>
      </w:r>
      <w:r>
        <w:rPr>
          <w:rFonts w:ascii="Times New Roman" w:eastAsia="Times New Roman" w:hAnsi="Times New Roman"/>
          <w:sz w:val="12"/>
        </w:rPr>
        <w:t>64</w:t>
      </w:r>
      <w:r>
        <w:rPr>
          <w:rFonts w:ascii="Times New Roman" w:eastAsia="Times New Roman" w:hAnsi="Times New Roman"/>
          <w:sz w:val="22"/>
        </w:rPr>
        <w:t xml:space="preserve"> Ancak daha sonra Kıyâs’ı reddede-rek Şâfiî mezhebini de terk etmiş ve zâhire göre hükmetmeye başlamıştır. Şâfiî mezhebine mensup olduğu dönemde Dâvûd, Şâfiî mezhebinin önde ge-len </w:t>
      </w:r>
      <w:proofErr w:type="gramStart"/>
      <w:r>
        <w:rPr>
          <w:rFonts w:ascii="Times New Roman" w:eastAsia="Times New Roman" w:hAnsi="Times New Roman"/>
          <w:sz w:val="22"/>
        </w:rPr>
        <w:t>alimlerinden</w:t>
      </w:r>
      <w:proofErr w:type="gramEnd"/>
      <w:r>
        <w:rPr>
          <w:rFonts w:ascii="Times New Roman" w:eastAsia="Times New Roman" w:hAnsi="Times New Roman"/>
          <w:sz w:val="22"/>
        </w:rPr>
        <w:t xml:space="preserve"> olan İshâk b. Raheveyh nezdinde önemli bir yere sahipken sonradan aralarında çeşitli münazaralar olmuştur.</w:t>
      </w:r>
      <w:r>
        <w:rPr>
          <w:rFonts w:ascii="Times New Roman" w:eastAsia="Times New Roman" w:hAnsi="Times New Roman"/>
          <w:sz w:val="12"/>
        </w:rPr>
        <w:t>65</w:t>
      </w:r>
      <w:r>
        <w:rPr>
          <w:rFonts w:ascii="Times New Roman" w:eastAsia="Times New Roman" w:hAnsi="Times New Roman"/>
          <w:sz w:val="22"/>
        </w:rPr>
        <w:t xml:space="preserve"> Dâvûd’un, bu dönüşümle birlikte bazı şâz görüşler ileri sürdüğü söylenmiş hatta bu nedenle ona sapıklık isnat edilmiştir.</w:t>
      </w:r>
      <w:r>
        <w:rPr>
          <w:rFonts w:ascii="Times New Roman" w:eastAsia="Times New Roman" w:hAnsi="Times New Roman"/>
          <w:sz w:val="12"/>
        </w:rPr>
        <w:t>66</w:t>
      </w:r>
      <w:r>
        <w:rPr>
          <w:rFonts w:ascii="Times New Roman" w:eastAsia="Times New Roman" w:hAnsi="Times New Roman"/>
          <w:sz w:val="22"/>
        </w:rPr>
        <w:t xml:space="preserve"> Kıyâsı reddetmesi yanında tepki toplayan bir diğer husus ise </w:t>
      </w:r>
      <w:r>
        <w:rPr>
          <w:rFonts w:ascii="Times New Roman" w:eastAsia="Times New Roman" w:hAnsi="Times New Roman"/>
          <w:i/>
          <w:sz w:val="22"/>
        </w:rPr>
        <w:t>halku’l-Kur’ân</w:t>
      </w:r>
      <w:r>
        <w:rPr>
          <w:rFonts w:ascii="Times New Roman" w:eastAsia="Times New Roman" w:hAnsi="Times New Roman"/>
          <w:sz w:val="22"/>
        </w:rPr>
        <w:t xml:space="preserve"> konusundaki görüşüdür. Onun, eldeki Kur’ân’ın mahluk olduğunu savunduğu söylenmiştir.</w:t>
      </w:r>
      <w:r>
        <w:rPr>
          <w:rFonts w:ascii="Times New Roman" w:eastAsia="Times New Roman" w:hAnsi="Times New Roman"/>
          <w:sz w:val="12"/>
        </w:rPr>
        <w:t>67</w:t>
      </w:r>
      <w:r>
        <w:rPr>
          <w:rFonts w:ascii="Times New Roman" w:eastAsia="Times New Roman" w:hAnsi="Times New Roman"/>
          <w:sz w:val="22"/>
        </w:rPr>
        <w:t xml:space="preserve"> Yani Dâvûd b. Alî’nin,</w:t>
      </w:r>
      <w:r>
        <w:rPr>
          <w:rFonts w:ascii="Times New Roman" w:eastAsia="Times New Roman" w:hAnsi="Times New Roman"/>
          <w:sz w:val="12"/>
        </w:rPr>
        <w:t>68</w:t>
      </w:r>
      <w:r>
        <w:rPr>
          <w:rFonts w:ascii="Times New Roman" w:eastAsia="Times New Roman" w:hAnsi="Times New Roman"/>
          <w:sz w:val="22"/>
        </w:rPr>
        <w:t xml:space="preserve"> kağıttan </w:t>
      </w:r>
      <w:proofErr w:type="gramStart"/>
      <w:r>
        <w:rPr>
          <w:rFonts w:ascii="Times New Roman" w:eastAsia="Times New Roman" w:hAnsi="Times New Roman"/>
          <w:sz w:val="22"/>
        </w:rPr>
        <w:t>ve mü</w:t>
      </w:r>
      <w:proofErr w:type="gramEnd"/>
      <w:r>
        <w:rPr>
          <w:rFonts w:ascii="Times New Roman" w:eastAsia="Times New Roman" w:hAnsi="Times New Roman"/>
          <w:sz w:val="22"/>
        </w:rPr>
        <w:t>-rekkepten oluşan ellerdeki Kur’ân’ın mahlûk; levh-i mahfûzdaki Kur’ân’ın ise mahlûk olmadığını söylediği nakledilmektedir.</w:t>
      </w:r>
      <w:r>
        <w:rPr>
          <w:rFonts w:ascii="Times New Roman" w:eastAsia="Times New Roman" w:hAnsi="Times New Roman"/>
          <w:sz w:val="12"/>
        </w:rPr>
        <w:t>69</w:t>
      </w:r>
    </w:p>
    <w:p w:rsidR="00F712BF" w:rsidRDefault="00F712BF" w:rsidP="00F712BF">
      <w:pPr>
        <w:spacing w:line="12" w:lineRule="exact"/>
        <w:rPr>
          <w:rFonts w:ascii="Times New Roman" w:eastAsia="Times New Roman" w:hAnsi="Times New Roman"/>
        </w:rPr>
      </w:pPr>
    </w:p>
    <w:p w:rsidR="00F712BF" w:rsidRDefault="00F712BF" w:rsidP="00F712BF">
      <w:pPr>
        <w:spacing w:line="279" w:lineRule="auto"/>
        <w:ind w:firstLine="283"/>
        <w:jc w:val="both"/>
        <w:rPr>
          <w:rFonts w:ascii="Times New Roman" w:eastAsia="Times New Roman" w:hAnsi="Times New Roman"/>
          <w:sz w:val="12"/>
        </w:rPr>
      </w:pPr>
      <w:r>
        <w:rPr>
          <w:rFonts w:ascii="Times New Roman" w:eastAsia="Times New Roman" w:hAnsi="Times New Roman"/>
          <w:sz w:val="22"/>
        </w:rPr>
        <w:t xml:space="preserve">Dâvûd b. Alî, Ahmed b. Hanbel ile görüşerek ondan hadis öğrenmek is-temiş ancak </w:t>
      </w:r>
      <w:r>
        <w:rPr>
          <w:rFonts w:ascii="Times New Roman" w:eastAsia="Times New Roman" w:hAnsi="Times New Roman"/>
          <w:i/>
          <w:sz w:val="22"/>
        </w:rPr>
        <w:t>halku’l-Kur’ân</w:t>
      </w:r>
      <w:r>
        <w:rPr>
          <w:rFonts w:ascii="Times New Roman" w:eastAsia="Times New Roman" w:hAnsi="Times New Roman"/>
          <w:sz w:val="22"/>
        </w:rPr>
        <w:t xml:space="preserve"> hakkındaki görüşü nedeniyle Ahmed b. Hanbel onun bu isteğini kabul etmemiş ve onunla görüşmek istememiştir. Dâvûd’un bu görüşü savunmadığını söylediği kendisine iletilince ise Ahmed b. Hanbel, “Muhammed b. Yahyâ ez-Zühelî onun bu görüşü savunduğuna dair bana mek-tup yazdı. Onun sözü daha doğrudur” demiştir.</w:t>
      </w:r>
      <w:r>
        <w:rPr>
          <w:rFonts w:ascii="Times New Roman" w:eastAsia="Times New Roman" w:hAnsi="Times New Roman"/>
          <w:sz w:val="12"/>
        </w:rPr>
        <w:t>70</w:t>
      </w:r>
      <w:r>
        <w:rPr>
          <w:rFonts w:ascii="Times New Roman" w:eastAsia="Times New Roman" w:hAnsi="Times New Roman"/>
          <w:sz w:val="22"/>
        </w:rPr>
        <w:t xml:space="preserve"> Dâvûd, </w:t>
      </w:r>
      <w:r>
        <w:rPr>
          <w:rFonts w:ascii="Times New Roman" w:eastAsia="Times New Roman" w:hAnsi="Times New Roman"/>
          <w:i/>
          <w:sz w:val="22"/>
        </w:rPr>
        <w:t>halku’l-Kur’ân</w:t>
      </w:r>
      <w:r>
        <w:rPr>
          <w:rFonts w:ascii="Times New Roman" w:eastAsia="Times New Roman" w:hAnsi="Times New Roman"/>
          <w:sz w:val="22"/>
        </w:rPr>
        <w:t xml:space="preserve"> me-selesindeki bu muhalif görüşlerinden dolayı Bağdat Başkadısı İsmail b. İshak tarafından iki yıl Basra’ya sürülmüştür.</w:t>
      </w:r>
      <w:r>
        <w:rPr>
          <w:rFonts w:ascii="Times New Roman" w:eastAsia="Times New Roman" w:hAnsi="Times New Roman"/>
          <w:sz w:val="12"/>
        </w:rPr>
        <w:t>71</w:t>
      </w:r>
    </w:p>
    <w:p w:rsidR="00F712BF" w:rsidRDefault="00F712BF" w:rsidP="00F712BF">
      <w:pPr>
        <w:spacing w:line="20" w:lineRule="exact"/>
        <w:rPr>
          <w:rFonts w:ascii="Times New Roman" w:eastAsia="Times New Roman" w:hAnsi="Times New Roman"/>
        </w:rPr>
      </w:pPr>
      <w:r>
        <w:rPr>
          <w:rFonts w:ascii="Times New Roman" w:eastAsia="Times New Roman" w:hAnsi="Times New Roman"/>
          <w:sz w:val="12"/>
        </w:rPr>
        <w:pict>
          <v:line id="_x0000_s1027" style="position:absolute;z-index:-251655168" from=".15pt,10.25pt" to="141.9pt,10.25pt" o:userdrawn="t" strokeweight=".25pt"/>
        </w:pict>
      </w:r>
    </w:p>
    <w:p w:rsidR="00F712BF" w:rsidRDefault="00F712BF" w:rsidP="00F712BF">
      <w:pPr>
        <w:spacing w:line="217" w:lineRule="exact"/>
        <w:rPr>
          <w:rFonts w:ascii="Times New Roman" w:eastAsia="Times New Roman" w:hAnsi="Times New Roman"/>
        </w:rPr>
      </w:pPr>
    </w:p>
    <w:p w:rsidR="00F712BF" w:rsidRDefault="00F712BF" w:rsidP="00F712BF">
      <w:pPr>
        <w:spacing w:line="261" w:lineRule="auto"/>
        <w:ind w:left="240" w:hanging="226"/>
        <w:jc w:val="both"/>
        <w:rPr>
          <w:rFonts w:ascii="Times New Roman" w:eastAsia="Times New Roman" w:hAnsi="Times New Roman"/>
          <w:sz w:val="16"/>
        </w:rPr>
      </w:pPr>
      <w:r>
        <w:rPr>
          <w:rFonts w:ascii="Times New Roman" w:eastAsia="Times New Roman" w:hAnsi="Times New Roman"/>
          <w:sz w:val="16"/>
        </w:rPr>
        <w:t>63 Bu eser bize kadar ulaşmamıştır. Ancak İbn Kesîr, bu kitaptan alıntıda bulunmaktadır. Bkz: İbn Kesîr, XIV/136.</w:t>
      </w:r>
    </w:p>
    <w:p w:rsidR="00F712BF" w:rsidRDefault="00F712BF" w:rsidP="00F712BF">
      <w:pPr>
        <w:numPr>
          <w:ilvl w:val="0"/>
          <w:numId w:val="11"/>
        </w:numPr>
        <w:tabs>
          <w:tab w:val="left" w:pos="240"/>
        </w:tabs>
        <w:spacing w:line="0" w:lineRule="atLeast"/>
        <w:ind w:left="240" w:hanging="236"/>
        <w:rPr>
          <w:rFonts w:ascii="Times New Roman" w:eastAsia="Times New Roman" w:hAnsi="Times New Roman"/>
          <w:sz w:val="16"/>
        </w:rPr>
      </w:pPr>
      <w:r>
        <w:rPr>
          <w:rFonts w:ascii="Times New Roman" w:eastAsia="Times New Roman" w:hAnsi="Times New Roman"/>
          <w:sz w:val="16"/>
        </w:rPr>
        <w:t xml:space="preserve">Zehebî, </w:t>
      </w:r>
      <w:r>
        <w:rPr>
          <w:rFonts w:ascii="Times New Roman" w:eastAsia="Times New Roman" w:hAnsi="Times New Roman"/>
          <w:i/>
          <w:sz w:val="16"/>
        </w:rPr>
        <w:t>Mîzânü’l-İ’tidâl</w:t>
      </w:r>
      <w:r>
        <w:rPr>
          <w:rFonts w:ascii="Times New Roman" w:eastAsia="Times New Roman" w:hAnsi="Times New Roman"/>
          <w:sz w:val="16"/>
        </w:rPr>
        <w:t>, III/27; Safedî, XIII/297.</w:t>
      </w:r>
    </w:p>
    <w:p w:rsidR="00F712BF" w:rsidRDefault="00F712BF" w:rsidP="00F712BF">
      <w:pPr>
        <w:spacing w:line="8" w:lineRule="exact"/>
        <w:rPr>
          <w:rFonts w:ascii="Times New Roman" w:eastAsia="Times New Roman" w:hAnsi="Times New Roman"/>
          <w:sz w:val="16"/>
        </w:rPr>
      </w:pPr>
    </w:p>
    <w:p w:rsidR="00F712BF" w:rsidRDefault="00F712BF" w:rsidP="00F712BF">
      <w:pPr>
        <w:numPr>
          <w:ilvl w:val="0"/>
          <w:numId w:val="11"/>
        </w:numPr>
        <w:tabs>
          <w:tab w:val="left" w:pos="240"/>
        </w:tabs>
        <w:spacing w:line="0" w:lineRule="atLeast"/>
        <w:ind w:left="240" w:hanging="236"/>
        <w:rPr>
          <w:rFonts w:ascii="Times New Roman" w:eastAsia="Times New Roman" w:hAnsi="Times New Roman"/>
          <w:sz w:val="16"/>
        </w:rPr>
      </w:pPr>
      <w:r>
        <w:rPr>
          <w:rFonts w:ascii="Times New Roman" w:eastAsia="Times New Roman" w:hAnsi="Times New Roman"/>
          <w:sz w:val="16"/>
        </w:rPr>
        <w:t>Hatîb el-Bağdâdî, IX/344; Sübkî, II/284.</w:t>
      </w:r>
    </w:p>
    <w:p w:rsidR="00F712BF" w:rsidRDefault="00F712BF" w:rsidP="00F712BF">
      <w:pPr>
        <w:spacing w:line="8" w:lineRule="exact"/>
        <w:rPr>
          <w:rFonts w:ascii="Times New Roman" w:eastAsia="Times New Roman" w:hAnsi="Times New Roman"/>
          <w:sz w:val="16"/>
        </w:rPr>
      </w:pPr>
    </w:p>
    <w:p w:rsidR="00F712BF" w:rsidRDefault="00F712BF" w:rsidP="00F712BF">
      <w:pPr>
        <w:numPr>
          <w:ilvl w:val="0"/>
          <w:numId w:val="11"/>
        </w:numPr>
        <w:tabs>
          <w:tab w:val="left" w:pos="240"/>
        </w:tabs>
        <w:spacing w:line="0" w:lineRule="atLeast"/>
        <w:ind w:left="240" w:hanging="236"/>
        <w:rPr>
          <w:rFonts w:ascii="Times New Roman" w:eastAsia="Times New Roman" w:hAnsi="Times New Roman"/>
          <w:sz w:val="16"/>
        </w:rPr>
      </w:pPr>
      <w:r>
        <w:rPr>
          <w:rFonts w:ascii="Times New Roman" w:eastAsia="Times New Roman" w:hAnsi="Times New Roman"/>
          <w:sz w:val="16"/>
        </w:rPr>
        <w:t xml:space="preserve">İbn Hacer, </w:t>
      </w:r>
      <w:r>
        <w:rPr>
          <w:rFonts w:ascii="Times New Roman" w:eastAsia="Times New Roman" w:hAnsi="Times New Roman"/>
          <w:i/>
          <w:sz w:val="16"/>
        </w:rPr>
        <w:t>Lisânü’l-Mîzân</w:t>
      </w:r>
      <w:r>
        <w:rPr>
          <w:rFonts w:ascii="Times New Roman" w:eastAsia="Times New Roman" w:hAnsi="Times New Roman"/>
          <w:sz w:val="16"/>
        </w:rPr>
        <w:t>, III/407.</w:t>
      </w:r>
    </w:p>
    <w:p w:rsidR="00F712BF" w:rsidRDefault="00F712BF" w:rsidP="00F712BF">
      <w:pPr>
        <w:spacing w:line="8" w:lineRule="exact"/>
        <w:rPr>
          <w:rFonts w:ascii="Times New Roman" w:eastAsia="Times New Roman" w:hAnsi="Times New Roman"/>
          <w:sz w:val="16"/>
        </w:rPr>
      </w:pPr>
    </w:p>
    <w:p w:rsidR="00F712BF" w:rsidRDefault="00F712BF" w:rsidP="00F712BF">
      <w:pPr>
        <w:numPr>
          <w:ilvl w:val="0"/>
          <w:numId w:val="11"/>
        </w:numPr>
        <w:tabs>
          <w:tab w:val="left" w:pos="240"/>
        </w:tabs>
        <w:spacing w:line="250" w:lineRule="auto"/>
        <w:ind w:left="240" w:hanging="236"/>
        <w:rPr>
          <w:rFonts w:ascii="Times New Roman" w:eastAsia="Times New Roman" w:hAnsi="Times New Roman"/>
          <w:sz w:val="16"/>
        </w:rPr>
      </w:pPr>
      <w:r>
        <w:rPr>
          <w:rFonts w:ascii="Times New Roman" w:eastAsia="Times New Roman" w:hAnsi="Times New Roman"/>
          <w:sz w:val="16"/>
        </w:rPr>
        <w:t xml:space="preserve">İbn Hacer, </w:t>
      </w:r>
      <w:r>
        <w:rPr>
          <w:rFonts w:ascii="Times New Roman" w:eastAsia="Times New Roman" w:hAnsi="Times New Roman"/>
          <w:i/>
          <w:sz w:val="16"/>
        </w:rPr>
        <w:t>Lisânü’l-Mîzân</w:t>
      </w:r>
      <w:r>
        <w:rPr>
          <w:rFonts w:ascii="Times New Roman" w:eastAsia="Times New Roman" w:hAnsi="Times New Roman"/>
          <w:sz w:val="16"/>
        </w:rPr>
        <w:t xml:space="preserve">, III/405; Zehebî, </w:t>
      </w:r>
      <w:r>
        <w:rPr>
          <w:rFonts w:ascii="Times New Roman" w:eastAsia="Times New Roman" w:hAnsi="Times New Roman"/>
          <w:i/>
          <w:sz w:val="16"/>
        </w:rPr>
        <w:t>Nüzhetü’l-Fudalâ</w:t>
      </w:r>
      <w:r>
        <w:rPr>
          <w:rFonts w:ascii="Times New Roman" w:eastAsia="Times New Roman" w:hAnsi="Times New Roman"/>
          <w:sz w:val="16"/>
        </w:rPr>
        <w:t>, II/946; Hatîb el-Bağdâdî, IX/346; Sübkî, II/286.</w:t>
      </w:r>
    </w:p>
    <w:p w:rsidR="00F712BF" w:rsidRDefault="00F712BF" w:rsidP="00F712BF">
      <w:pPr>
        <w:numPr>
          <w:ilvl w:val="0"/>
          <w:numId w:val="11"/>
        </w:numPr>
        <w:tabs>
          <w:tab w:val="left" w:pos="240"/>
        </w:tabs>
        <w:spacing w:line="267" w:lineRule="auto"/>
        <w:ind w:left="240" w:hanging="236"/>
        <w:jc w:val="both"/>
        <w:rPr>
          <w:rFonts w:ascii="Times New Roman" w:eastAsia="Times New Roman" w:hAnsi="Times New Roman"/>
          <w:sz w:val="15"/>
        </w:rPr>
      </w:pPr>
      <w:r>
        <w:rPr>
          <w:rFonts w:ascii="Times New Roman" w:eastAsia="Times New Roman" w:hAnsi="Times New Roman"/>
          <w:sz w:val="15"/>
        </w:rPr>
        <w:t xml:space="preserve">Zehebî, Dâvûd b. Alî’nin Kur’ân’ın tabiatını açıklarken bir ayrım yaparak eldeki Kur’an ile levh-i mahfûzdaki Kur’an’ın farklı olduğu şeklindeki bu görüşünü, yanlışlıkla adı aynı şekilde Dâvûd b. Alî olan başka bir kimseye daha nispet etmektedir. </w:t>
      </w:r>
      <w:proofErr w:type="gramStart"/>
      <w:r>
        <w:rPr>
          <w:rFonts w:ascii="Times New Roman" w:eastAsia="Times New Roman" w:hAnsi="Times New Roman"/>
          <w:sz w:val="15"/>
        </w:rPr>
        <w:t xml:space="preserve">(bkz: Zehebî, </w:t>
      </w:r>
      <w:r>
        <w:rPr>
          <w:rFonts w:ascii="Times New Roman" w:eastAsia="Times New Roman" w:hAnsi="Times New Roman"/>
          <w:i/>
          <w:sz w:val="15"/>
        </w:rPr>
        <w:t>Mîzânü’l-İ’tidâl</w:t>
      </w:r>
      <w:r>
        <w:rPr>
          <w:rFonts w:ascii="Times New Roman" w:eastAsia="Times New Roman" w:hAnsi="Times New Roman"/>
          <w:sz w:val="15"/>
        </w:rPr>
        <w:t xml:space="preserve">, III/26.) İsim benzerliği olan diğer Dâvûd b. Alî, aslında Abdullah b. Abbâs’ın torunu olup, 133h./750m yılında vefat etmiştir (Ebu’l-Fadl Ahmed b. Alî b. Hacer Şihâbuddîn el-Askalânî, </w:t>
      </w:r>
      <w:r>
        <w:rPr>
          <w:rFonts w:ascii="Times New Roman" w:eastAsia="Times New Roman" w:hAnsi="Times New Roman"/>
          <w:i/>
          <w:sz w:val="15"/>
        </w:rPr>
        <w:t>Tehzîbü’t-Tehzîb</w:t>
      </w:r>
      <w:r>
        <w:rPr>
          <w:rFonts w:ascii="Times New Roman" w:eastAsia="Times New Roman" w:hAnsi="Times New Roman"/>
          <w:sz w:val="15"/>
        </w:rPr>
        <w:t xml:space="preserve">, Müessesetü’r-Risâle, (b.y.), (t.y.), I/567.). Zehebî, her iki Dâvûd’un da aynı görüşü benimsediğini tamamen aynı kelimeler ile ve aynı kişi-lerden yaptığı nakil ile bildirmektedir. </w:t>
      </w:r>
      <w:proofErr w:type="gramEnd"/>
      <w:r>
        <w:rPr>
          <w:rFonts w:ascii="Times New Roman" w:eastAsia="Times New Roman" w:hAnsi="Times New Roman"/>
          <w:sz w:val="15"/>
        </w:rPr>
        <w:t xml:space="preserve">(Krş: Zehebî, </w:t>
      </w:r>
      <w:r>
        <w:rPr>
          <w:rFonts w:ascii="Times New Roman" w:eastAsia="Times New Roman" w:hAnsi="Times New Roman"/>
          <w:i/>
          <w:sz w:val="15"/>
        </w:rPr>
        <w:t>Mîzânü’l-İ’tidâl</w:t>
      </w:r>
      <w:r>
        <w:rPr>
          <w:rFonts w:ascii="Times New Roman" w:eastAsia="Times New Roman" w:hAnsi="Times New Roman"/>
          <w:sz w:val="15"/>
        </w:rPr>
        <w:t xml:space="preserve">, III/26 ve Zehebî, </w:t>
      </w:r>
      <w:r>
        <w:rPr>
          <w:rFonts w:ascii="Times New Roman" w:eastAsia="Times New Roman" w:hAnsi="Times New Roman"/>
          <w:i/>
          <w:sz w:val="15"/>
        </w:rPr>
        <w:t>Nüzhetü’l-Fudalâ</w:t>
      </w:r>
      <w:r>
        <w:rPr>
          <w:rFonts w:ascii="Times New Roman" w:eastAsia="Times New Roman" w:hAnsi="Times New Roman"/>
          <w:sz w:val="15"/>
        </w:rPr>
        <w:t xml:space="preserve">, II/946.). Yani ölüm tarihleri arasında 137 yıl bulunan iki ayrı kişinin aynı görüşte olduğunu tamamen aynı kelimeler ile ifade etmektedir. Bu da isim benzerliğinin bir karıştırmaya neden olduğu kanaatini uyandır-maktadır. </w:t>
      </w:r>
      <w:r>
        <w:rPr>
          <w:rFonts w:ascii="Times New Roman" w:eastAsia="Times New Roman" w:hAnsi="Times New Roman"/>
          <w:i/>
          <w:sz w:val="15"/>
        </w:rPr>
        <w:t>Halku’l-Kur’ân</w:t>
      </w:r>
      <w:r>
        <w:rPr>
          <w:rFonts w:ascii="Times New Roman" w:eastAsia="Times New Roman" w:hAnsi="Times New Roman"/>
          <w:sz w:val="15"/>
        </w:rPr>
        <w:t xml:space="preserve"> meselesinin ortaya çıkışının 133h./750m. </w:t>
      </w:r>
      <w:proofErr w:type="gramStart"/>
      <w:r>
        <w:rPr>
          <w:rFonts w:ascii="Times New Roman" w:eastAsia="Times New Roman" w:hAnsi="Times New Roman"/>
          <w:sz w:val="15"/>
        </w:rPr>
        <w:t>senesinden</w:t>
      </w:r>
      <w:proofErr w:type="gramEnd"/>
      <w:r>
        <w:rPr>
          <w:rFonts w:ascii="Times New Roman" w:eastAsia="Times New Roman" w:hAnsi="Times New Roman"/>
          <w:sz w:val="15"/>
        </w:rPr>
        <w:t xml:space="preserve"> sonra olduğu göz önünde bulundurulduğunda Zehebî’nin bu konuda bir hata yaptığı anlaşılmaktadır.</w:t>
      </w:r>
    </w:p>
    <w:p w:rsidR="00F712BF" w:rsidRDefault="00F712BF" w:rsidP="00F712BF">
      <w:pPr>
        <w:spacing w:line="1" w:lineRule="exact"/>
        <w:rPr>
          <w:rFonts w:ascii="Times New Roman" w:eastAsia="Times New Roman" w:hAnsi="Times New Roman"/>
          <w:sz w:val="15"/>
        </w:rPr>
      </w:pPr>
    </w:p>
    <w:p w:rsidR="00F712BF" w:rsidRDefault="00F712BF" w:rsidP="00F712BF">
      <w:pPr>
        <w:numPr>
          <w:ilvl w:val="0"/>
          <w:numId w:val="11"/>
        </w:numPr>
        <w:tabs>
          <w:tab w:val="left" w:pos="240"/>
        </w:tabs>
        <w:spacing w:line="0" w:lineRule="atLeast"/>
        <w:ind w:left="240" w:hanging="236"/>
        <w:rPr>
          <w:rFonts w:ascii="Times New Roman" w:eastAsia="Times New Roman" w:hAnsi="Times New Roman"/>
          <w:sz w:val="16"/>
        </w:rPr>
      </w:pPr>
      <w:r>
        <w:rPr>
          <w:rFonts w:ascii="Times New Roman" w:eastAsia="Times New Roman" w:hAnsi="Times New Roman"/>
          <w:sz w:val="16"/>
        </w:rPr>
        <w:t>Hatîb el-Bağdâdî, IX/347.</w:t>
      </w:r>
    </w:p>
    <w:p w:rsidR="00F712BF" w:rsidRDefault="00F712BF" w:rsidP="00F712BF">
      <w:pPr>
        <w:spacing w:line="8" w:lineRule="exact"/>
        <w:rPr>
          <w:rFonts w:ascii="Times New Roman" w:eastAsia="Times New Roman" w:hAnsi="Times New Roman"/>
          <w:sz w:val="16"/>
        </w:rPr>
      </w:pPr>
    </w:p>
    <w:p w:rsidR="00F712BF" w:rsidRDefault="00F712BF" w:rsidP="00F712BF">
      <w:pPr>
        <w:numPr>
          <w:ilvl w:val="0"/>
          <w:numId w:val="11"/>
        </w:numPr>
        <w:tabs>
          <w:tab w:val="left" w:pos="240"/>
        </w:tabs>
        <w:spacing w:line="250" w:lineRule="auto"/>
        <w:ind w:left="240" w:hanging="236"/>
        <w:rPr>
          <w:rFonts w:ascii="Times New Roman" w:eastAsia="Times New Roman" w:hAnsi="Times New Roman"/>
          <w:sz w:val="16"/>
        </w:rPr>
      </w:pPr>
      <w:r>
        <w:rPr>
          <w:rFonts w:ascii="Times New Roman" w:eastAsia="Times New Roman" w:hAnsi="Times New Roman"/>
          <w:sz w:val="16"/>
        </w:rPr>
        <w:t xml:space="preserve">İbn Hacer, </w:t>
      </w:r>
      <w:r>
        <w:rPr>
          <w:rFonts w:ascii="Times New Roman" w:eastAsia="Times New Roman" w:hAnsi="Times New Roman"/>
          <w:i/>
          <w:sz w:val="16"/>
        </w:rPr>
        <w:t>Lisânü’l-Mîzân</w:t>
      </w:r>
      <w:r>
        <w:rPr>
          <w:rFonts w:ascii="Times New Roman" w:eastAsia="Times New Roman" w:hAnsi="Times New Roman"/>
          <w:sz w:val="16"/>
        </w:rPr>
        <w:t xml:space="preserve">, III/406; Zehebî, </w:t>
      </w:r>
      <w:r>
        <w:rPr>
          <w:rFonts w:ascii="Times New Roman" w:eastAsia="Times New Roman" w:hAnsi="Times New Roman"/>
          <w:i/>
          <w:sz w:val="16"/>
        </w:rPr>
        <w:t>Mîzânü’l-İ’tidâl</w:t>
      </w:r>
      <w:r>
        <w:rPr>
          <w:rFonts w:ascii="Times New Roman" w:eastAsia="Times New Roman" w:hAnsi="Times New Roman"/>
          <w:sz w:val="16"/>
        </w:rPr>
        <w:t xml:space="preserve">, III/27; Zehebî, </w:t>
      </w:r>
      <w:r>
        <w:rPr>
          <w:rFonts w:ascii="Times New Roman" w:eastAsia="Times New Roman" w:hAnsi="Times New Roman"/>
          <w:i/>
          <w:sz w:val="16"/>
        </w:rPr>
        <w:t>Târihu’l-İslâm</w:t>
      </w:r>
      <w:r>
        <w:rPr>
          <w:rFonts w:ascii="Times New Roman" w:eastAsia="Times New Roman" w:hAnsi="Times New Roman"/>
          <w:sz w:val="16"/>
        </w:rPr>
        <w:t>, XX/91; Hatîb el-Bağdâdî, IX/346; Sübkî, II/286.</w:t>
      </w:r>
    </w:p>
    <w:p w:rsidR="00F712BF" w:rsidRDefault="00F712BF" w:rsidP="00F712BF">
      <w:pPr>
        <w:numPr>
          <w:ilvl w:val="0"/>
          <w:numId w:val="11"/>
        </w:numPr>
        <w:tabs>
          <w:tab w:val="left" w:pos="240"/>
        </w:tabs>
        <w:spacing w:line="0" w:lineRule="atLeast"/>
        <w:ind w:left="240" w:hanging="236"/>
        <w:rPr>
          <w:rFonts w:ascii="Times New Roman" w:eastAsia="Times New Roman" w:hAnsi="Times New Roman"/>
          <w:sz w:val="16"/>
        </w:rPr>
      </w:pPr>
      <w:proofErr w:type="gramStart"/>
      <w:r>
        <w:rPr>
          <w:rFonts w:ascii="Times New Roman" w:eastAsia="Times New Roman" w:hAnsi="Times New Roman"/>
          <w:sz w:val="16"/>
        </w:rPr>
        <w:t>Ahmed  Bukayr</w:t>
      </w:r>
      <w:proofErr w:type="gramEnd"/>
      <w:r>
        <w:rPr>
          <w:rFonts w:ascii="Times New Roman" w:eastAsia="Times New Roman" w:hAnsi="Times New Roman"/>
          <w:sz w:val="16"/>
        </w:rPr>
        <w:t xml:space="preserve">  Mahmûd,  el-Medresetü’z-Zâhirîyye  bi’l-Meşrık  ve’l-Mağrib,  Dâru  Kuteybe</w:t>
      </w:r>
    </w:p>
    <w:p w:rsidR="00F712BF" w:rsidRDefault="00F712BF" w:rsidP="00F712BF">
      <w:pPr>
        <w:tabs>
          <w:tab w:val="left" w:pos="240"/>
        </w:tabs>
        <w:spacing w:line="0" w:lineRule="atLeast"/>
        <w:ind w:left="240" w:hanging="236"/>
        <w:rPr>
          <w:rFonts w:ascii="Times New Roman" w:eastAsia="Times New Roman" w:hAnsi="Times New Roman"/>
          <w:sz w:val="16"/>
        </w:rPr>
        <w:sectPr w:rsidR="00F712BF">
          <w:pgSz w:w="9240" w:h="13663"/>
          <w:pgMar w:top="1237" w:right="1141" w:bottom="699" w:left="1300" w:header="0" w:footer="0" w:gutter="0"/>
          <w:cols w:space="0" w:equalWidth="0">
            <w:col w:w="6800"/>
          </w:cols>
          <w:docGrid w:linePitch="360"/>
        </w:sectPr>
      </w:pPr>
    </w:p>
    <w:tbl>
      <w:tblPr>
        <w:tblW w:w="0" w:type="auto"/>
        <w:tblInd w:w="6" w:type="dxa"/>
        <w:tblLayout w:type="fixed"/>
        <w:tblCellMar>
          <w:left w:w="0" w:type="dxa"/>
          <w:right w:w="0" w:type="dxa"/>
        </w:tblCellMar>
        <w:tblLook w:val="0000"/>
      </w:tblPr>
      <w:tblGrid>
        <w:gridCol w:w="5320"/>
        <w:gridCol w:w="1480"/>
      </w:tblGrid>
      <w:tr w:rsidR="00F712BF" w:rsidTr="000C5968">
        <w:trPr>
          <w:trHeight w:val="234"/>
        </w:trPr>
        <w:tc>
          <w:tcPr>
            <w:tcW w:w="5320" w:type="dxa"/>
            <w:shd w:val="clear" w:color="auto" w:fill="auto"/>
            <w:vAlign w:val="bottom"/>
          </w:tcPr>
          <w:p w:rsidR="00F712BF" w:rsidRDefault="00F712BF" w:rsidP="000C5968">
            <w:pPr>
              <w:spacing w:line="0" w:lineRule="atLeast"/>
              <w:rPr>
                <w:rFonts w:ascii="Times New Roman" w:eastAsia="Times New Roman" w:hAnsi="Times New Roman"/>
                <w:i/>
                <w:sz w:val="14"/>
              </w:rPr>
            </w:pPr>
            <w:bookmarkStart w:id="1" w:name="page15"/>
            <w:bookmarkEnd w:id="1"/>
            <w:r>
              <w:rPr>
                <w:rFonts w:ascii="Times New Roman" w:eastAsia="Times New Roman" w:hAnsi="Times New Roman"/>
                <w:i/>
                <w:sz w:val="14"/>
              </w:rPr>
              <w:lastRenderedPageBreak/>
              <w:t>Kökeni Oluşumu ve Algılanışı Bakımından İbn Hazm Öncesinde Zâhirîlik</w:t>
            </w:r>
          </w:p>
        </w:tc>
        <w:tc>
          <w:tcPr>
            <w:tcW w:w="1480" w:type="dxa"/>
            <w:shd w:val="clear" w:color="auto" w:fill="auto"/>
            <w:vAlign w:val="bottom"/>
          </w:tcPr>
          <w:p w:rsidR="00F712BF" w:rsidRDefault="00F712BF" w:rsidP="000C5968">
            <w:pPr>
              <w:spacing w:line="0" w:lineRule="atLeast"/>
              <w:jc w:val="right"/>
              <w:rPr>
                <w:rFonts w:ascii="Times New Roman" w:eastAsia="Times New Roman" w:hAnsi="Times New Roman"/>
                <w:sz w:val="18"/>
              </w:rPr>
            </w:pPr>
            <w:r>
              <w:rPr>
                <w:rFonts w:ascii="Times New Roman" w:eastAsia="Times New Roman" w:hAnsi="Times New Roman"/>
                <w:sz w:val="18"/>
              </w:rPr>
              <w:t>151</w:t>
            </w:r>
          </w:p>
        </w:tc>
      </w:tr>
    </w:tbl>
    <w:p w:rsidR="00F712BF" w:rsidRDefault="00F712BF" w:rsidP="00F712BF">
      <w:pPr>
        <w:spacing w:line="200" w:lineRule="exact"/>
        <w:rPr>
          <w:rFonts w:ascii="Times New Roman" w:eastAsia="Times New Roman" w:hAnsi="Times New Roman"/>
        </w:rPr>
      </w:pPr>
    </w:p>
    <w:p w:rsidR="00F712BF" w:rsidRDefault="00F712BF" w:rsidP="00F712BF">
      <w:pPr>
        <w:spacing w:line="200" w:lineRule="exact"/>
        <w:rPr>
          <w:rFonts w:ascii="Times New Roman" w:eastAsia="Times New Roman" w:hAnsi="Times New Roman"/>
        </w:rPr>
      </w:pPr>
    </w:p>
    <w:p w:rsidR="00F712BF" w:rsidRDefault="00F712BF" w:rsidP="00F712BF">
      <w:pPr>
        <w:spacing w:line="204" w:lineRule="exact"/>
        <w:rPr>
          <w:rFonts w:ascii="Times New Roman" w:eastAsia="Times New Roman" w:hAnsi="Times New Roman"/>
        </w:rPr>
      </w:pPr>
    </w:p>
    <w:p w:rsidR="00F712BF" w:rsidRDefault="00F712BF" w:rsidP="00F712BF">
      <w:pPr>
        <w:spacing w:line="284" w:lineRule="auto"/>
        <w:ind w:left="6" w:firstLine="284"/>
        <w:jc w:val="both"/>
        <w:rPr>
          <w:rFonts w:ascii="Times New Roman" w:eastAsia="Times New Roman" w:hAnsi="Times New Roman"/>
          <w:sz w:val="12"/>
        </w:rPr>
      </w:pPr>
      <w:r>
        <w:rPr>
          <w:rFonts w:ascii="Times New Roman" w:eastAsia="Times New Roman" w:hAnsi="Times New Roman"/>
          <w:sz w:val="22"/>
        </w:rPr>
        <w:t xml:space="preserve">Ahmed b. Hanbel ile Dâvûd b. Alî’nin muasır olduğu halde aralarında bir temasın olmayışı Dâvûd’a nispet edilen </w:t>
      </w:r>
      <w:r>
        <w:rPr>
          <w:rFonts w:ascii="Times New Roman" w:eastAsia="Times New Roman" w:hAnsi="Times New Roman"/>
          <w:i/>
          <w:sz w:val="22"/>
        </w:rPr>
        <w:t>halku’l-Kur’ân</w:t>
      </w:r>
      <w:r>
        <w:rPr>
          <w:rFonts w:ascii="Times New Roman" w:eastAsia="Times New Roman" w:hAnsi="Times New Roman"/>
          <w:sz w:val="22"/>
        </w:rPr>
        <w:t xml:space="preserve"> meselesindeki görü-şü nedeniyledir. Yoksa Dâvûd b. Alî, fıkhı hadislere dayandırması yönüyle Ahmed b. Hanbel ile paralel bir fıkıh anlayışına sahiptir. </w:t>
      </w:r>
      <w:proofErr w:type="gramStart"/>
      <w:r>
        <w:rPr>
          <w:rFonts w:ascii="Times New Roman" w:eastAsia="Times New Roman" w:hAnsi="Times New Roman"/>
          <w:sz w:val="22"/>
        </w:rPr>
        <w:t>Nitekim Ahmed b. Hanbel’in kıyâs konusunda diğer mezhep imamları kadar müsamahalı olma-dığı ve çok güçlü bir zaruret olmadıkça kıyâsa başvurmadığı söylenmektedir.</w:t>
      </w:r>
      <w:r>
        <w:rPr>
          <w:rFonts w:ascii="Times New Roman" w:eastAsia="Times New Roman" w:hAnsi="Times New Roman"/>
          <w:sz w:val="12"/>
        </w:rPr>
        <w:t>72</w:t>
      </w:r>
      <w:r>
        <w:rPr>
          <w:rFonts w:ascii="Times New Roman" w:eastAsia="Times New Roman" w:hAnsi="Times New Roman"/>
          <w:sz w:val="22"/>
        </w:rPr>
        <w:t xml:space="preserve"> Ahmed b. Hanbel’in sadece seleften nakledilen kıyâsları geçerli görmesine rağmen yeni kıyâslar yapmak mecburiyetinde kaldığı da ifade edilmektedir.</w:t>
      </w:r>
      <w:r>
        <w:rPr>
          <w:rFonts w:ascii="Times New Roman" w:eastAsia="Times New Roman" w:hAnsi="Times New Roman"/>
          <w:sz w:val="12"/>
        </w:rPr>
        <w:t>73</w:t>
      </w:r>
      <w:r>
        <w:rPr>
          <w:rFonts w:ascii="Times New Roman" w:eastAsia="Times New Roman" w:hAnsi="Times New Roman"/>
          <w:sz w:val="22"/>
        </w:rPr>
        <w:t xml:space="preserve"> Dâvûd ve Ahmed b. Hanbel arasındaki bu temassızlık sonraki Hanbelîler tara-fından derin bir fıkhî ayrılığın göstergesi olarak değerlendirilmemiştir. </w:t>
      </w:r>
      <w:proofErr w:type="gramEnd"/>
      <w:r>
        <w:rPr>
          <w:rFonts w:ascii="Times New Roman" w:eastAsia="Times New Roman" w:hAnsi="Times New Roman"/>
          <w:sz w:val="22"/>
        </w:rPr>
        <w:t xml:space="preserve">Özel-likle ilk dönem </w:t>
      </w:r>
      <w:proofErr w:type="gramStart"/>
      <w:r>
        <w:rPr>
          <w:rFonts w:ascii="Times New Roman" w:eastAsia="Times New Roman" w:hAnsi="Times New Roman"/>
          <w:sz w:val="22"/>
        </w:rPr>
        <w:t>Hanbeli</w:t>
      </w:r>
      <w:proofErr w:type="gramEnd"/>
      <w:r>
        <w:rPr>
          <w:rFonts w:ascii="Times New Roman" w:eastAsia="Times New Roman" w:hAnsi="Times New Roman"/>
          <w:sz w:val="22"/>
        </w:rPr>
        <w:t xml:space="preserve"> fakihler eserlerinde Dâvûd’un görüşlerini de naklet-meye önem vermişlerdir.</w:t>
      </w:r>
      <w:r>
        <w:rPr>
          <w:rFonts w:ascii="Times New Roman" w:eastAsia="Times New Roman" w:hAnsi="Times New Roman"/>
          <w:sz w:val="12"/>
        </w:rPr>
        <w:t>74</w:t>
      </w:r>
    </w:p>
    <w:p w:rsidR="00F712BF" w:rsidRDefault="00F712BF" w:rsidP="00F712BF">
      <w:pPr>
        <w:spacing w:line="8" w:lineRule="exact"/>
        <w:rPr>
          <w:rFonts w:ascii="Times New Roman" w:eastAsia="Times New Roman" w:hAnsi="Times New Roman"/>
        </w:rPr>
      </w:pPr>
    </w:p>
    <w:p w:rsidR="00F712BF" w:rsidRDefault="00F712BF" w:rsidP="00F712BF">
      <w:pPr>
        <w:spacing w:line="298" w:lineRule="auto"/>
        <w:ind w:left="6" w:firstLine="284"/>
        <w:jc w:val="both"/>
        <w:rPr>
          <w:rFonts w:ascii="Times New Roman" w:eastAsia="Times New Roman" w:hAnsi="Times New Roman"/>
          <w:sz w:val="12"/>
        </w:rPr>
      </w:pPr>
      <w:r>
        <w:rPr>
          <w:rFonts w:ascii="Times New Roman" w:eastAsia="Times New Roman" w:hAnsi="Times New Roman"/>
          <w:sz w:val="21"/>
        </w:rPr>
        <w:t>Bazı fakih ve muhaddislerin Dâvûd’a yönelik tepkilerinin kökeninde elde-ki Kur’ân’ın yaratılmış olduğunu söylediği iddiası yanında Kur’ân’a gusülsüz ve abdestsiz dokunmayı caiz görmesi gibi diğer fakîhler tarafından kabul gör-meyen bazı fıkhî görüşleri savunması da çok önemli bir yer tutmaktadır.</w:t>
      </w:r>
      <w:r>
        <w:rPr>
          <w:rFonts w:ascii="Times New Roman" w:eastAsia="Times New Roman" w:hAnsi="Times New Roman"/>
          <w:sz w:val="12"/>
        </w:rPr>
        <w:t>75</w:t>
      </w:r>
    </w:p>
    <w:p w:rsidR="00F712BF" w:rsidRDefault="00F712BF" w:rsidP="00F712BF">
      <w:pPr>
        <w:spacing w:line="1" w:lineRule="exact"/>
        <w:rPr>
          <w:rFonts w:ascii="Times New Roman" w:eastAsia="Times New Roman" w:hAnsi="Times New Roman"/>
        </w:rPr>
      </w:pPr>
    </w:p>
    <w:p w:rsidR="00F712BF" w:rsidRDefault="00F712BF" w:rsidP="00F712BF">
      <w:pPr>
        <w:spacing w:line="301" w:lineRule="auto"/>
        <w:ind w:left="6" w:firstLine="284"/>
        <w:jc w:val="both"/>
        <w:rPr>
          <w:rFonts w:ascii="Times New Roman" w:eastAsia="Times New Roman" w:hAnsi="Times New Roman"/>
          <w:sz w:val="21"/>
        </w:rPr>
      </w:pPr>
      <w:r>
        <w:rPr>
          <w:rFonts w:ascii="Times New Roman" w:eastAsia="Times New Roman" w:hAnsi="Times New Roman"/>
          <w:sz w:val="21"/>
        </w:rPr>
        <w:t>Dâvûd’un yaşamış olduğu devir, dinî ilimler sahasında re’ye dayalı yakla-şımların daha da arttığı bir devirdir. Bir tür re’y olan Kıyâs’ın fakihler arasında etkinlik kazanması da bu döneme rastlar. Re’yin fıkha girmesi ve giderek daha fazla kullanılması, fıkhî faaliyeti naklî bir faaliyet olmaktan çok, zannî ictihâd ve yorumlara dayalı münazara ve mukayeselere çevirmiştir. Fıkıh sahasında görülen bu durumla eş zamanlı olarak nassların zâhiri ile bâtını arasında ay-rım yapan, zâhirin yakin ifade etmeyeceğine ve bizi bilgiye götüremeyeceğine inanan sufî hareketler ortaya çıkmıştır. Bu eğilime sahip kişiler zaman zaman bazı ayet ve hadislerin zâhirî anlamlarını yeterli bulmayarak bir takım bâtınî anlamlara ulaşmaya çalışmışlardır. Bütün bunlar subjektif ve uç yaklaşımla-rın ortaya çıkmasına neden olmuştur. Re’y ve batın gibi subjektif bir anla-ma zemini üzerine kurulan ve giderek yaygınlaşan bu yaklaşımlar karşısında Dâvûd b. Alî, Kur’ân ve Sünneti muhafaza etme iddiasıyla ortaya çıkmıştır.</w:t>
      </w:r>
    </w:p>
    <w:p w:rsidR="00F712BF" w:rsidRDefault="00F712BF" w:rsidP="00F712BF">
      <w:pPr>
        <w:spacing w:line="20" w:lineRule="exact"/>
        <w:rPr>
          <w:rFonts w:ascii="Times New Roman" w:eastAsia="Times New Roman" w:hAnsi="Times New Roman"/>
        </w:rPr>
      </w:pPr>
      <w:r>
        <w:rPr>
          <w:rFonts w:ascii="Times New Roman" w:eastAsia="Times New Roman" w:hAnsi="Times New Roman"/>
          <w:sz w:val="21"/>
        </w:rPr>
        <w:pict>
          <v:line id="_x0000_s1028" style="position:absolute;z-index:-251654144" from="0,9.55pt" to="340.15pt,9.55pt" o:userdrawn="t" strokeweight=".25pt"/>
        </w:pict>
      </w:r>
    </w:p>
    <w:p w:rsidR="00F712BF" w:rsidRDefault="00F712BF" w:rsidP="00F712BF">
      <w:pPr>
        <w:spacing w:line="202" w:lineRule="exact"/>
        <w:rPr>
          <w:rFonts w:ascii="Times New Roman" w:eastAsia="Times New Roman" w:hAnsi="Times New Roman"/>
        </w:rPr>
      </w:pPr>
    </w:p>
    <w:p w:rsidR="00F712BF" w:rsidRDefault="00F712BF" w:rsidP="00F712BF">
      <w:pPr>
        <w:spacing w:line="0" w:lineRule="atLeast"/>
        <w:ind w:left="226"/>
        <w:rPr>
          <w:rFonts w:ascii="Times New Roman" w:eastAsia="Times New Roman" w:hAnsi="Times New Roman"/>
          <w:sz w:val="16"/>
        </w:rPr>
      </w:pPr>
      <w:r>
        <w:rPr>
          <w:rFonts w:ascii="Times New Roman" w:eastAsia="Times New Roman" w:hAnsi="Times New Roman"/>
          <w:sz w:val="16"/>
        </w:rPr>
        <w:t>li’t-Tibaa ve’n-Neşr ve’t-Tevzî’, Beyrût 1990, s. 17.</w:t>
      </w:r>
    </w:p>
    <w:p w:rsidR="00F712BF" w:rsidRDefault="00F712BF" w:rsidP="00F712BF">
      <w:pPr>
        <w:spacing w:line="25" w:lineRule="exact"/>
        <w:rPr>
          <w:rFonts w:ascii="Times New Roman" w:eastAsia="Times New Roman" w:hAnsi="Times New Roman"/>
        </w:rPr>
      </w:pPr>
    </w:p>
    <w:p w:rsidR="00F712BF" w:rsidRDefault="00F712BF" w:rsidP="00F712BF">
      <w:pPr>
        <w:numPr>
          <w:ilvl w:val="0"/>
          <w:numId w:val="12"/>
        </w:numPr>
        <w:tabs>
          <w:tab w:val="left" w:pos="226"/>
        </w:tabs>
        <w:spacing w:line="0" w:lineRule="atLeast"/>
        <w:ind w:left="226" w:hanging="226"/>
        <w:rPr>
          <w:rFonts w:ascii="Times New Roman" w:eastAsia="Times New Roman" w:hAnsi="Times New Roman"/>
          <w:sz w:val="16"/>
        </w:rPr>
      </w:pPr>
      <w:r>
        <w:rPr>
          <w:rFonts w:ascii="Times New Roman" w:eastAsia="Times New Roman" w:hAnsi="Times New Roman"/>
          <w:sz w:val="16"/>
        </w:rPr>
        <w:t xml:space="preserve">Ahmed Emîn, </w:t>
      </w:r>
      <w:r>
        <w:rPr>
          <w:rFonts w:ascii="Times New Roman" w:eastAsia="Times New Roman" w:hAnsi="Times New Roman"/>
          <w:i/>
          <w:sz w:val="16"/>
        </w:rPr>
        <w:t>Duha’l-İslâm</w:t>
      </w:r>
      <w:r>
        <w:rPr>
          <w:rFonts w:ascii="Times New Roman" w:eastAsia="Times New Roman" w:hAnsi="Times New Roman"/>
          <w:sz w:val="16"/>
        </w:rPr>
        <w:t>, II/235.</w:t>
      </w:r>
    </w:p>
    <w:p w:rsidR="00F712BF" w:rsidRDefault="00F712BF" w:rsidP="00F712BF">
      <w:pPr>
        <w:spacing w:line="8" w:lineRule="exact"/>
        <w:rPr>
          <w:rFonts w:ascii="Times New Roman" w:eastAsia="Times New Roman" w:hAnsi="Times New Roman"/>
          <w:sz w:val="16"/>
        </w:rPr>
      </w:pPr>
    </w:p>
    <w:p w:rsidR="00F712BF" w:rsidRDefault="00F712BF" w:rsidP="00F712BF">
      <w:pPr>
        <w:numPr>
          <w:ilvl w:val="0"/>
          <w:numId w:val="12"/>
        </w:numPr>
        <w:tabs>
          <w:tab w:val="left" w:pos="226"/>
        </w:tabs>
        <w:spacing w:line="250" w:lineRule="auto"/>
        <w:ind w:left="226" w:hanging="226"/>
        <w:rPr>
          <w:rFonts w:ascii="Times New Roman" w:eastAsia="Times New Roman" w:hAnsi="Times New Roman"/>
          <w:sz w:val="16"/>
        </w:rPr>
      </w:pPr>
      <w:r>
        <w:rPr>
          <w:rFonts w:ascii="Times New Roman" w:eastAsia="Times New Roman" w:hAnsi="Times New Roman"/>
          <w:sz w:val="16"/>
        </w:rPr>
        <w:t xml:space="preserve">Mustafa eş-Şuk’a, </w:t>
      </w:r>
      <w:r>
        <w:rPr>
          <w:rFonts w:ascii="Times New Roman" w:eastAsia="Times New Roman" w:hAnsi="Times New Roman"/>
          <w:i/>
          <w:sz w:val="16"/>
        </w:rPr>
        <w:t>el-Eimmetü’l-Erbaa el-İmâm Ahmed b. Hanbel</w:t>
      </w:r>
      <w:r>
        <w:rPr>
          <w:rFonts w:ascii="Times New Roman" w:eastAsia="Times New Roman" w:hAnsi="Times New Roman"/>
          <w:sz w:val="16"/>
        </w:rPr>
        <w:t>, Dâru’l-Kitâbi’l-Mısrî, Kâhire 1991, s. 224</w:t>
      </w:r>
    </w:p>
    <w:p w:rsidR="00F712BF" w:rsidRDefault="00F712BF" w:rsidP="00F712BF">
      <w:pPr>
        <w:numPr>
          <w:ilvl w:val="0"/>
          <w:numId w:val="12"/>
        </w:numPr>
        <w:tabs>
          <w:tab w:val="left" w:pos="226"/>
        </w:tabs>
        <w:spacing w:line="250" w:lineRule="auto"/>
        <w:ind w:left="226" w:hanging="226"/>
        <w:rPr>
          <w:rFonts w:ascii="Times New Roman" w:eastAsia="Times New Roman" w:hAnsi="Times New Roman"/>
          <w:sz w:val="16"/>
        </w:rPr>
      </w:pPr>
      <w:r>
        <w:rPr>
          <w:rFonts w:ascii="Times New Roman" w:eastAsia="Times New Roman" w:hAnsi="Times New Roman"/>
          <w:sz w:val="16"/>
        </w:rPr>
        <w:t xml:space="preserve">Muhammed b. Hasen b. Ömer eş-Şattî, </w:t>
      </w:r>
      <w:r>
        <w:rPr>
          <w:rFonts w:ascii="Times New Roman" w:eastAsia="Times New Roman" w:hAnsi="Times New Roman"/>
          <w:i/>
          <w:sz w:val="16"/>
        </w:rPr>
        <w:t>Risaletü Müfredati Dâvûd ez-Zâhirî,</w:t>
      </w:r>
      <w:r>
        <w:rPr>
          <w:rFonts w:ascii="Times New Roman" w:eastAsia="Times New Roman" w:hAnsi="Times New Roman"/>
          <w:sz w:val="16"/>
        </w:rPr>
        <w:t xml:space="preserve"> (er-Resâilu’l-Kemâliyye içerisinde), Mektebetü’l-Meârif, Tâif 1980, XXVI/124.</w:t>
      </w:r>
    </w:p>
    <w:p w:rsidR="00F712BF" w:rsidRDefault="00F712BF" w:rsidP="00F712BF">
      <w:pPr>
        <w:numPr>
          <w:ilvl w:val="0"/>
          <w:numId w:val="12"/>
        </w:numPr>
        <w:tabs>
          <w:tab w:val="left" w:pos="226"/>
        </w:tabs>
        <w:spacing w:line="0" w:lineRule="atLeast"/>
        <w:ind w:left="226" w:hanging="226"/>
        <w:rPr>
          <w:rFonts w:ascii="Times New Roman" w:eastAsia="Times New Roman" w:hAnsi="Times New Roman"/>
          <w:sz w:val="16"/>
        </w:rPr>
      </w:pPr>
      <w:r>
        <w:rPr>
          <w:rFonts w:ascii="Times New Roman" w:eastAsia="Times New Roman" w:hAnsi="Times New Roman"/>
          <w:sz w:val="16"/>
        </w:rPr>
        <w:t>Esved, s. 202.</w:t>
      </w:r>
    </w:p>
    <w:p w:rsidR="00D93C16" w:rsidRPr="00F712BF" w:rsidRDefault="00F712BF" w:rsidP="00F712BF"/>
    <w:sectPr w:rsidR="00D93C16" w:rsidRPr="00F712BF" w:rsidSect="005341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hybridMultilevel"/>
    <w:tmpl w:val="25E45D32"/>
    <w:lvl w:ilvl="0" w:tplc="FFFFFFFF">
      <w:start w:val="5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D"/>
    <w:multiLevelType w:val="hybridMultilevel"/>
    <w:tmpl w:val="519B500C"/>
    <w:lvl w:ilvl="0" w:tplc="FFFFFFFF">
      <w:start w:val="6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E"/>
    <w:multiLevelType w:val="hybridMultilevel"/>
    <w:tmpl w:val="431BD7B6"/>
    <w:lvl w:ilvl="0" w:tplc="FFFFFFFF">
      <w:start w:val="7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F"/>
    <w:multiLevelType w:val="hybridMultilevel"/>
    <w:tmpl w:val="1D4ED43A"/>
    <w:lvl w:ilvl="0" w:tplc="FFFFFFFF">
      <w:start w:val="3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0"/>
    <w:multiLevelType w:val="hybridMultilevel"/>
    <w:tmpl w:val="725A06FA"/>
    <w:lvl w:ilvl="0" w:tplc="FFFFFFFF">
      <w:start w:val="4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21"/>
    <w:multiLevelType w:val="hybridMultilevel"/>
    <w:tmpl w:val="2CD89A32"/>
    <w:lvl w:ilvl="0" w:tplc="FFFFFFFF">
      <w:start w:val="1"/>
      <w:numFmt w:val="bullet"/>
      <w:lvlText w:val="'"/>
      <w:lvlJc w:val="left"/>
    </w:lvl>
    <w:lvl w:ilvl="1" w:tplc="FFFFFFFF">
      <w:start w:val="1"/>
      <w:numFmt w:val="bullet"/>
      <w:lvlText w:val="&quot;"/>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2"/>
    <w:multiLevelType w:val="hybridMultilevel"/>
    <w:tmpl w:val="57E4CCA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3"/>
    <w:multiLevelType w:val="hybridMultilevel"/>
    <w:tmpl w:val="7A6D8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4"/>
    <w:multiLevelType w:val="hybridMultilevel"/>
    <w:tmpl w:val="4B588F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5"/>
    <w:multiLevelType w:val="hybridMultilevel"/>
    <w:tmpl w:val="542289EC"/>
    <w:lvl w:ilvl="0" w:tplc="FFFFFFFF">
      <w:start w:val="1"/>
      <w:numFmt w:val="bullet"/>
      <w:lvlText w:val="-"/>
      <w:lvlJc w:val="left"/>
    </w:lvl>
    <w:lvl w:ilvl="1" w:tplc="FFFFFFFF">
      <w:start w:val="1"/>
      <w:numFmt w:val="bullet"/>
      <w:lvlText w:val="_"/>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6"/>
    <w:multiLevelType w:val="hybridMultilevel"/>
    <w:tmpl w:val="6DE91B1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7"/>
    <w:multiLevelType w:val="hybridMultilevel"/>
    <w:tmpl w:val="38437FDA"/>
    <w:lvl w:ilvl="0" w:tplc="FFFFFFFF">
      <w:start w:val="12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0"/>
  </w:num>
  <w:num w:numId="11">
    <w:abstractNumId w:val="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3455AF"/>
    <w:rsid w:val="003455AF"/>
    <w:rsid w:val="00354863"/>
    <w:rsid w:val="00402397"/>
    <w:rsid w:val="00534153"/>
    <w:rsid w:val="00563EF3"/>
    <w:rsid w:val="00680C6B"/>
    <w:rsid w:val="00CB305E"/>
    <w:rsid w:val="00F712BF"/>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AF"/>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5193</Characters>
  <Application>Microsoft Office Word</Application>
  <DocSecurity>0</DocSecurity>
  <Lines>43</Lines>
  <Paragraphs>12</Paragraphs>
  <ScaleCrop>false</ScaleCrop>
  <Company/>
  <LinksUpToDate>false</LinksUpToDate>
  <CharactersWithSpaces>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dc:creator>
  <cp:keywords/>
  <dc:description/>
  <cp:lastModifiedBy>Nermin</cp:lastModifiedBy>
  <cp:revision>3</cp:revision>
  <dcterms:created xsi:type="dcterms:W3CDTF">2020-07-17T16:19:00Z</dcterms:created>
  <dcterms:modified xsi:type="dcterms:W3CDTF">2020-07-17T22:33:00Z</dcterms:modified>
</cp:coreProperties>
</file>