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E7" w:rsidRDefault="000302E7" w:rsidP="000302E7">
      <w:pPr>
        <w:spacing w:line="283" w:lineRule="auto"/>
        <w:ind w:right="20" w:firstLine="283"/>
        <w:jc w:val="both"/>
        <w:rPr>
          <w:rFonts w:ascii="Times New Roman" w:eastAsia="Times New Roman" w:hAnsi="Times New Roman"/>
          <w:sz w:val="12"/>
        </w:rPr>
      </w:pPr>
      <w:r>
        <w:rPr>
          <w:rFonts w:ascii="Times New Roman" w:eastAsia="Times New Roman" w:hAnsi="Times New Roman"/>
          <w:sz w:val="22"/>
        </w:rPr>
        <w:t>Cüveynî, Kâdî’den Zâhirîlerin ümmetin ulemasından ve şeriatın taşıyı-cılarından sayılmadığı dolayısıyla onların görüşlerine itibar edilmemesi ge-rektiği şeklindeki görüşünü aktarmakta ve bu görüşünde ona katılmaktadır.</w:t>
      </w:r>
      <w:r>
        <w:rPr>
          <w:rFonts w:ascii="Times New Roman" w:eastAsia="Times New Roman" w:hAnsi="Times New Roman"/>
          <w:sz w:val="12"/>
        </w:rPr>
        <w:t>86</w:t>
      </w:r>
      <w:r>
        <w:rPr>
          <w:rFonts w:ascii="Times New Roman" w:eastAsia="Times New Roman" w:hAnsi="Times New Roman"/>
          <w:sz w:val="22"/>
        </w:rPr>
        <w:t xml:space="preserve"> Cüveynî’nin kıyâsı inkar edenleri avamdan sayma gerekçesi olarak onların tevatürle sabit olmuş bir şeyi reddetme konusunda inat etmelerini gerekçe gösterdiği ifade edilmektedir.</w:t>
      </w:r>
      <w:r>
        <w:rPr>
          <w:rFonts w:ascii="Times New Roman" w:eastAsia="Times New Roman" w:hAnsi="Times New Roman"/>
          <w:sz w:val="12"/>
        </w:rPr>
        <w:t>87</w:t>
      </w:r>
    </w:p>
    <w:p w:rsidR="000302E7" w:rsidRDefault="000302E7" w:rsidP="000302E7">
      <w:pPr>
        <w:spacing w:line="20" w:lineRule="exact"/>
        <w:rPr>
          <w:rFonts w:ascii="Times New Roman" w:eastAsia="Times New Roman" w:hAnsi="Times New Roman"/>
        </w:rPr>
      </w:pPr>
      <w:r>
        <w:rPr>
          <w:rFonts w:ascii="Times New Roman" w:eastAsia="Times New Roman" w:hAnsi="Times New Roman"/>
          <w:sz w:val="12"/>
        </w:rPr>
        <w:pict>
          <v:line id="_x0000_s1026" style="position:absolute;z-index:-251656192" from=".15pt,9.1pt" to="141.9pt,9.1pt" o:userdrawn="t" strokeweight=".25pt"/>
        </w:pict>
      </w:r>
    </w:p>
    <w:p w:rsidR="000302E7" w:rsidRDefault="000302E7" w:rsidP="000302E7">
      <w:pPr>
        <w:spacing w:line="192" w:lineRule="exact"/>
        <w:rPr>
          <w:rFonts w:ascii="Times New Roman" w:eastAsia="Times New Roman" w:hAnsi="Times New Roman"/>
        </w:rPr>
      </w:pPr>
    </w:p>
    <w:p w:rsidR="000302E7" w:rsidRDefault="000302E7" w:rsidP="000302E7">
      <w:pPr>
        <w:spacing w:line="273" w:lineRule="auto"/>
        <w:ind w:left="240" w:hanging="226"/>
        <w:jc w:val="both"/>
        <w:rPr>
          <w:rFonts w:ascii="Times New Roman" w:eastAsia="Times New Roman" w:hAnsi="Times New Roman"/>
          <w:sz w:val="15"/>
        </w:rPr>
      </w:pPr>
      <w:r>
        <w:rPr>
          <w:rFonts w:ascii="Times New Roman" w:eastAsia="Times New Roman" w:hAnsi="Times New Roman"/>
          <w:sz w:val="15"/>
        </w:rPr>
        <w:t xml:space="preserve">82 Zehebî, </w:t>
      </w:r>
      <w:r>
        <w:rPr>
          <w:rFonts w:ascii="Times New Roman" w:eastAsia="Times New Roman" w:hAnsi="Times New Roman"/>
          <w:i/>
          <w:sz w:val="15"/>
        </w:rPr>
        <w:t>Nüzhetü’l-Fudalâ</w:t>
      </w:r>
      <w:r>
        <w:rPr>
          <w:rFonts w:ascii="Times New Roman" w:eastAsia="Times New Roman" w:hAnsi="Times New Roman"/>
          <w:sz w:val="15"/>
        </w:rPr>
        <w:t xml:space="preserve">, II/946; Ebû Zekeriyyâ Muhyiddîn Yahyâ b. Şeref en-Nevevî, </w:t>
      </w:r>
      <w:r>
        <w:rPr>
          <w:rFonts w:ascii="Times New Roman" w:eastAsia="Times New Roman" w:hAnsi="Times New Roman"/>
          <w:i/>
          <w:sz w:val="15"/>
        </w:rPr>
        <w:t>el-Mecmû’</w:t>
      </w:r>
      <w:r>
        <w:rPr>
          <w:rFonts w:ascii="Times New Roman" w:eastAsia="Times New Roman" w:hAnsi="Times New Roman"/>
          <w:sz w:val="15"/>
        </w:rPr>
        <w:t xml:space="preserve"> </w:t>
      </w:r>
      <w:r>
        <w:rPr>
          <w:rFonts w:ascii="Times New Roman" w:eastAsia="Times New Roman" w:hAnsi="Times New Roman"/>
          <w:i/>
          <w:sz w:val="15"/>
        </w:rPr>
        <w:t>Şerhu’l-Mühezzeb</w:t>
      </w:r>
      <w:r>
        <w:rPr>
          <w:rFonts w:ascii="Times New Roman" w:eastAsia="Times New Roman" w:hAnsi="Times New Roman"/>
          <w:sz w:val="15"/>
        </w:rPr>
        <w:t xml:space="preserve">, Dâru’l-Fikr, (b.y.), (t.y.), II/137; Bedruddîn Muhammed b. Behâdir b. Abdillâh ez-Zerkeşî, </w:t>
      </w:r>
      <w:r>
        <w:rPr>
          <w:rFonts w:ascii="Times New Roman" w:eastAsia="Times New Roman" w:hAnsi="Times New Roman"/>
          <w:i/>
          <w:sz w:val="15"/>
        </w:rPr>
        <w:t>el-Bahru’l-Muhît fî Usûli’l-Fıkh</w:t>
      </w:r>
      <w:r>
        <w:rPr>
          <w:rFonts w:ascii="Times New Roman" w:eastAsia="Times New Roman" w:hAnsi="Times New Roman"/>
          <w:sz w:val="15"/>
        </w:rPr>
        <w:t xml:space="preserve">, Dâru’l-Kitâbi’l-Arâbî, Beyrût 2000, II/175; Safedî, XIII/298; Sübkî, II/289; Muhammed Emîn Emîr Padişâh, </w:t>
      </w:r>
      <w:r>
        <w:rPr>
          <w:rFonts w:ascii="Times New Roman" w:eastAsia="Times New Roman" w:hAnsi="Times New Roman"/>
          <w:i/>
          <w:sz w:val="15"/>
        </w:rPr>
        <w:t>Teysîru’t-Tahrîr</w:t>
      </w:r>
      <w:r>
        <w:rPr>
          <w:rFonts w:ascii="Times New Roman" w:eastAsia="Times New Roman" w:hAnsi="Times New Roman"/>
          <w:sz w:val="15"/>
        </w:rPr>
        <w:t>, Dâru’l-Fikr, Dimeşk (t.y.), I/80.</w:t>
      </w:r>
    </w:p>
    <w:p w:rsidR="000302E7" w:rsidRDefault="000302E7" w:rsidP="000302E7">
      <w:pPr>
        <w:spacing w:line="2" w:lineRule="exact"/>
        <w:rPr>
          <w:rFonts w:ascii="Times New Roman" w:eastAsia="Times New Roman" w:hAnsi="Times New Roman"/>
        </w:rPr>
      </w:pPr>
    </w:p>
    <w:p w:rsidR="000302E7" w:rsidRDefault="000302E7" w:rsidP="000302E7">
      <w:pPr>
        <w:numPr>
          <w:ilvl w:val="0"/>
          <w:numId w:val="6"/>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Şehrazûrî, I/205.</w:t>
      </w:r>
    </w:p>
    <w:p w:rsidR="000302E7" w:rsidRDefault="000302E7" w:rsidP="000302E7">
      <w:pPr>
        <w:spacing w:line="8" w:lineRule="exact"/>
        <w:rPr>
          <w:rFonts w:ascii="Times New Roman" w:eastAsia="Times New Roman" w:hAnsi="Times New Roman"/>
          <w:sz w:val="16"/>
        </w:rPr>
      </w:pPr>
    </w:p>
    <w:p w:rsidR="000302E7" w:rsidRDefault="000302E7" w:rsidP="000302E7">
      <w:pPr>
        <w:numPr>
          <w:ilvl w:val="0"/>
          <w:numId w:val="6"/>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İbn Hazm, </w:t>
      </w:r>
      <w:r>
        <w:rPr>
          <w:rFonts w:ascii="Times New Roman" w:eastAsia="Times New Roman" w:hAnsi="Times New Roman"/>
          <w:i/>
          <w:sz w:val="16"/>
        </w:rPr>
        <w:t>el-İhkâm</w:t>
      </w:r>
      <w:r>
        <w:rPr>
          <w:rFonts w:ascii="Times New Roman" w:eastAsia="Times New Roman" w:hAnsi="Times New Roman"/>
          <w:sz w:val="16"/>
        </w:rPr>
        <w:t>, I/69.</w:t>
      </w:r>
    </w:p>
    <w:p w:rsidR="000302E7" w:rsidRDefault="000302E7" w:rsidP="000302E7">
      <w:pPr>
        <w:spacing w:line="8" w:lineRule="exact"/>
        <w:rPr>
          <w:rFonts w:ascii="Times New Roman" w:eastAsia="Times New Roman" w:hAnsi="Times New Roman"/>
          <w:sz w:val="16"/>
        </w:rPr>
      </w:pPr>
    </w:p>
    <w:p w:rsidR="000302E7" w:rsidRDefault="000302E7" w:rsidP="000302E7">
      <w:pPr>
        <w:numPr>
          <w:ilvl w:val="0"/>
          <w:numId w:val="6"/>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Zehebî, </w:t>
      </w:r>
      <w:r>
        <w:rPr>
          <w:rFonts w:ascii="Times New Roman" w:eastAsia="Times New Roman" w:hAnsi="Times New Roman"/>
          <w:i/>
          <w:sz w:val="16"/>
        </w:rPr>
        <w:t>Nüzhetü’l-Fudalâ</w:t>
      </w:r>
      <w:r>
        <w:rPr>
          <w:rFonts w:ascii="Times New Roman" w:eastAsia="Times New Roman" w:hAnsi="Times New Roman"/>
          <w:sz w:val="16"/>
        </w:rPr>
        <w:t>, II/946; Sübkî, II/289; Şevkânî, I/214.</w:t>
      </w:r>
    </w:p>
    <w:p w:rsidR="000302E7" w:rsidRDefault="000302E7" w:rsidP="000302E7">
      <w:pPr>
        <w:spacing w:line="8" w:lineRule="exact"/>
        <w:rPr>
          <w:rFonts w:ascii="Times New Roman" w:eastAsia="Times New Roman" w:hAnsi="Times New Roman"/>
          <w:sz w:val="16"/>
        </w:rPr>
      </w:pPr>
    </w:p>
    <w:p w:rsidR="000302E7" w:rsidRDefault="000302E7" w:rsidP="000302E7">
      <w:pPr>
        <w:numPr>
          <w:ilvl w:val="0"/>
          <w:numId w:val="6"/>
        </w:numPr>
        <w:tabs>
          <w:tab w:val="left" w:pos="240"/>
        </w:tabs>
        <w:spacing w:line="250" w:lineRule="auto"/>
        <w:ind w:left="240" w:right="20" w:hanging="236"/>
        <w:rPr>
          <w:rFonts w:ascii="Times New Roman" w:eastAsia="Times New Roman" w:hAnsi="Times New Roman"/>
          <w:sz w:val="16"/>
        </w:rPr>
      </w:pPr>
      <w:r>
        <w:rPr>
          <w:rFonts w:ascii="Times New Roman" w:eastAsia="Times New Roman" w:hAnsi="Times New Roman"/>
          <w:sz w:val="16"/>
        </w:rPr>
        <w:t xml:space="preserve">Ebu’l-Meâlî Abdülmelik b. Abdillah b. Yûsuf el-Cüveynî, </w:t>
      </w:r>
      <w:r>
        <w:rPr>
          <w:rFonts w:ascii="Times New Roman" w:eastAsia="Times New Roman" w:hAnsi="Times New Roman"/>
          <w:i/>
          <w:sz w:val="16"/>
        </w:rPr>
        <w:t>el-Burhân fî Usûli’l-Fıkh</w:t>
      </w:r>
      <w:r>
        <w:rPr>
          <w:rFonts w:ascii="Times New Roman" w:eastAsia="Times New Roman" w:hAnsi="Times New Roman"/>
          <w:sz w:val="16"/>
        </w:rPr>
        <w:t>, Dâru’l-Vefâ li’t-Tibâa ve’n-Neşr, Mansûra 1999, II/515.</w:t>
      </w:r>
    </w:p>
    <w:p w:rsidR="000302E7" w:rsidRDefault="000302E7" w:rsidP="000302E7">
      <w:pPr>
        <w:numPr>
          <w:ilvl w:val="0"/>
          <w:numId w:val="6"/>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Zehebî, </w:t>
      </w:r>
      <w:r>
        <w:rPr>
          <w:rFonts w:ascii="Times New Roman" w:eastAsia="Times New Roman" w:hAnsi="Times New Roman"/>
          <w:i/>
          <w:sz w:val="16"/>
        </w:rPr>
        <w:t>Nüzhetü’l-Fudalâ</w:t>
      </w:r>
      <w:r>
        <w:rPr>
          <w:rFonts w:ascii="Times New Roman" w:eastAsia="Times New Roman" w:hAnsi="Times New Roman"/>
          <w:sz w:val="16"/>
        </w:rPr>
        <w:t>, II/946; Sübkî, II/289; Hacvî, III/24.</w:t>
      </w:r>
    </w:p>
    <w:p w:rsidR="000302E7" w:rsidRDefault="000302E7" w:rsidP="000302E7">
      <w:pPr>
        <w:tabs>
          <w:tab w:val="left" w:pos="240"/>
        </w:tabs>
        <w:spacing w:line="0" w:lineRule="atLeast"/>
        <w:ind w:left="240" w:hanging="236"/>
        <w:rPr>
          <w:rFonts w:ascii="Times New Roman" w:eastAsia="Times New Roman" w:hAnsi="Times New Roman"/>
          <w:sz w:val="16"/>
        </w:rPr>
        <w:sectPr w:rsidR="000302E7">
          <w:pgSz w:w="9240" w:h="13663"/>
          <w:pgMar w:top="1226" w:right="1121" w:bottom="699" w:left="1300" w:header="0" w:footer="0" w:gutter="0"/>
          <w:cols w:space="0" w:equalWidth="0">
            <w:col w:w="6820"/>
          </w:cols>
          <w:docGrid w:linePitch="360"/>
        </w:sectPr>
      </w:pPr>
    </w:p>
    <w:tbl>
      <w:tblPr>
        <w:tblW w:w="0" w:type="auto"/>
        <w:tblInd w:w="6" w:type="dxa"/>
        <w:tblLayout w:type="fixed"/>
        <w:tblCellMar>
          <w:left w:w="0" w:type="dxa"/>
          <w:right w:w="0" w:type="dxa"/>
        </w:tblCellMar>
        <w:tblLook w:val="0000"/>
      </w:tblPr>
      <w:tblGrid>
        <w:gridCol w:w="5320"/>
        <w:gridCol w:w="1480"/>
      </w:tblGrid>
      <w:tr w:rsidR="000302E7" w:rsidTr="000C5968">
        <w:trPr>
          <w:trHeight w:val="234"/>
        </w:trPr>
        <w:tc>
          <w:tcPr>
            <w:tcW w:w="5320" w:type="dxa"/>
            <w:shd w:val="clear" w:color="auto" w:fill="auto"/>
            <w:vAlign w:val="bottom"/>
          </w:tcPr>
          <w:p w:rsidR="000302E7" w:rsidRDefault="000302E7" w:rsidP="000C5968">
            <w:pPr>
              <w:spacing w:line="0" w:lineRule="atLeast"/>
              <w:rPr>
                <w:rFonts w:ascii="Times New Roman" w:eastAsia="Times New Roman" w:hAnsi="Times New Roman"/>
                <w:i/>
                <w:sz w:val="14"/>
              </w:rPr>
            </w:pPr>
            <w:bookmarkStart w:id="0" w:name="page19"/>
            <w:bookmarkEnd w:id="0"/>
            <w:r>
              <w:rPr>
                <w:rFonts w:ascii="Times New Roman" w:eastAsia="Times New Roman" w:hAnsi="Times New Roman"/>
                <w:i/>
                <w:sz w:val="14"/>
              </w:rPr>
              <w:lastRenderedPageBreak/>
              <w:t>Kökeni Oluşumu ve Algılanışı Bakımından İbn Hazm Öncesinde Zâhirîlik</w:t>
            </w:r>
          </w:p>
        </w:tc>
        <w:tc>
          <w:tcPr>
            <w:tcW w:w="1480" w:type="dxa"/>
            <w:shd w:val="clear" w:color="auto" w:fill="auto"/>
            <w:vAlign w:val="bottom"/>
          </w:tcPr>
          <w:p w:rsidR="000302E7" w:rsidRDefault="000302E7" w:rsidP="000C5968">
            <w:pPr>
              <w:spacing w:line="0" w:lineRule="atLeast"/>
              <w:jc w:val="right"/>
              <w:rPr>
                <w:rFonts w:ascii="Times New Roman" w:eastAsia="Times New Roman" w:hAnsi="Times New Roman"/>
                <w:sz w:val="18"/>
              </w:rPr>
            </w:pPr>
            <w:r>
              <w:rPr>
                <w:rFonts w:ascii="Times New Roman" w:eastAsia="Times New Roman" w:hAnsi="Times New Roman"/>
                <w:sz w:val="18"/>
              </w:rPr>
              <w:t>155</w:t>
            </w:r>
          </w:p>
        </w:tc>
      </w:tr>
    </w:tbl>
    <w:p w:rsidR="000302E7" w:rsidRDefault="000302E7" w:rsidP="000302E7">
      <w:pPr>
        <w:spacing w:line="200" w:lineRule="exact"/>
        <w:rPr>
          <w:rFonts w:ascii="Times New Roman" w:eastAsia="Times New Roman" w:hAnsi="Times New Roman"/>
        </w:rPr>
      </w:pPr>
    </w:p>
    <w:p w:rsidR="000302E7" w:rsidRDefault="000302E7" w:rsidP="000302E7">
      <w:pPr>
        <w:spacing w:line="200" w:lineRule="exact"/>
        <w:rPr>
          <w:rFonts w:ascii="Times New Roman" w:eastAsia="Times New Roman" w:hAnsi="Times New Roman"/>
        </w:rPr>
      </w:pPr>
    </w:p>
    <w:p w:rsidR="000302E7" w:rsidRDefault="000302E7" w:rsidP="000302E7">
      <w:pPr>
        <w:spacing w:line="204" w:lineRule="exact"/>
        <w:rPr>
          <w:rFonts w:ascii="Times New Roman" w:eastAsia="Times New Roman" w:hAnsi="Times New Roman"/>
        </w:rPr>
      </w:pPr>
    </w:p>
    <w:p w:rsidR="000302E7" w:rsidRDefault="000302E7" w:rsidP="000302E7">
      <w:pPr>
        <w:spacing w:line="277" w:lineRule="auto"/>
        <w:ind w:left="6" w:firstLine="284"/>
        <w:jc w:val="both"/>
        <w:rPr>
          <w:rFonts w:ascii="Times New Roman" w:eastAsia="Times New Roman" w:hAnsi="Times New Roman"/>
          <w:sz w:val="22"/>
        </w:rPr>
      </w:pPr>
      <w:r>
        <w:rPr>
          <w:rFonts w:ascii="Times New Roman" w:eastAsia="Times New Roman" w:hAnsi="Times New Roman"/>
          <w:sz w:val="22"/>
        </w:rPr>
        <w:t>Zehebî, Zâhirîler’in muhalefetinin icmâın oluşumunu engellemeyeceği şeklindeki görüşe itiraz ederek daha itidalli bir yaklaşım sergilemeye çalış-maktadır:</w:t>
      </w:r>
    </w:p>
    <w:p w:rsidR="000302E7" w:rsidRDefault="000302E7" w:rsidP="000302E7">
      <w:pPr>
        <w:spacing w:line="2" w:lineRule="exact"/>
        <w:rPr>
          <w:rFonts w:ascii="Times New Roman" w:eastAsia="Times New Roman" w:hAnsi="Times New Roman"/>
        </w:rPr>
      </w:pPr>
    </w:p>
    <w:p w:rsidR="000302E7" w:rsidRDefault="000302E7" w:rsidP="000302E7">
      <w:pPr>
        <w:spacing w:line="312" w:lineRule="auto"/>
        <w:ind w:left="566" w:right="280"/>
        <w:jc w:val="both"/>
        <w:rPr>
          <w:rFonts w:ascii="Times New Roman" w:eastAsia="Times New Roman" w:hAnsi="Times New Roman"/>
          <w:sz w:val="11"/>
        </w:rPr>
      </w:pPr>
      <w:r>
        <w:rPr>
          <w:rFonts w:ascii="Times New Roman" w:eastAsia="Times New Roman" w:hAnsi="Times New Roman"/>
          <w:sz w:val="19"/>
        </w:rPr>
        <w:t>“Bu, Ebu’l-Meâlî’nin kendi ictihadı ile söylediği bir şeydir. [Yani bütün Şafiiler böyle düşünmüyor demek istiyor]. Onların kendi ictihadları, onları kıyâsı kabul etmemeye götürmüştür. İctihâd, başka bir ictihad ile nasıl reddedilebilir? Çok iyi bilmekteyiz ki, Dâvûd Bağdat gibi bir yerde kendi mezhebini okutmakta, münazaralara girmekte ve fetva vermekteydi. O devirde hem Bağdat’ta hem de Bağdat dışındaki yerlerde bir çok alim olmasına rağmen onların Dâvûd’a karşı çıktıklarını görmemekteyiz. Bu alimler, onun ne fetvâlarına ne de ders vermesine menfi yaklaştılar. Mezhebini yaymasına mani olmak için bir gayret içine girmediler. Elbette bazı meseleler vardır ki Zâhirîler, bunlar hakkında gayet güzel hüküm vermişlerdir. Bazıları da vardır ki düşük seviyededir ve bunlardan dolayı onlarla tartışmalara girilir. İbn Salah da buna işaret etmekte ve şöyle demektedir: Dâvûd’un hilafı dikkate alınır. Son olarak [Şâfiî ulema arasında demek istiyor] kabul gören kanaat budur. Ebû Hamid el-İsferâyînî, Mâverdî ve Kâdi Ebu’t-Tayyib gibi müteahhir imamlar eğer onların görüşlerini dikkate almamış olsalardı eserlerinde onların görüşlerine yer vermezlerdi.”</w:t>
      </w:r>
      <w:r>
        <w:rPr>
          <w:rFonts w:ascii="Times New Roman" w:eastAsia="Times New Roman" w:hAnsi="Times New Roman"/>
          <w:sz w:val="11"/>
        </w:rPr>
        <w:t>88</w:t>
      </w:r>
    </w:p>
    <w:p w:rsidR="000302E7" w:rsidRDefault="000302E7" w:rsidP="000302E7">
      <w:pPr>
        <w:spacing w:line="12" w:lineRule="exact"/>
        <w:rPr>
          <w:rFonts w:ascii="Times New Roman" w:eastAsia="Times New Roman" w:hAnsi="Times New Roman"/>
        </w:rPr>
      </w:pPr>
    </w:p>
    <w:p w:rsidR="000302E7" w:rsidRDefault="000302E7" w:rsidP="000302E7">
      <w:pPr>
        <w:spacing w:line="271" w:lineRule="auto"/>
        <w:ind w:left="6" w:firstLine="284"/>
        <w:jc w:val="both"/>
        <w:rPr>
          <w:rFonts w:ascii="Times New Roman" w:eastAsia="Times New Roman" w:hAnsi="Times New Roman"/>
          <w:sz w:val="12"/>
        </w:rPr>
      </w:pPr>
      <w:r>
        <w:rPr>
          <w:rFonts w:ascii="Times New Roman" w:eastAsia="Times New Roman" w:hAnsi="Times New Roman"/>
          <w:sz w:val="22"/>
        </w:rPr>
        <w:t xml:space="preserve">Zehebî, Zâhirîlerin bazı konularda tuhaf görüşleri olduğunu ve mükem-meliyetin zor bulunabileceğini söyleyerek Zâhirîlerin içerisinde bulunan ilim ve zekâ sahibi kimselere saygı duyulması gerektiğini vurgulamaktadır. O bu konuda, İbn Abbâs’ın durumunu örnek göstererek, onun </w:t>
      </w:r>
      <w:r>
        <w:rPr>
          <w:rFonts w:ascii="Times New Roman" w:eastAsia="Times New Roman" w:hAnsi="Times New Roman"/>
          <w:i/>
          <w:sz w:val="22"/>
        </w:rPr>
        <w:t>mut’a</w:t>
      </w:r>
      <w:r>
        <w:rPr>
          <w:rFonts w:ascii="Times New Roman" w:eastAsia="Times New Roman" w:hAnsi="Times New Roman"/>
          <w:sz w:val="22"/>
        </w:rPr>
        <w:t xml:space="preserve">, </w:t>
      </w:r>
      <w:r>
        <w:rPr>
          <w:rFonts w:ascii="Times New Roman" w:eastAsia="Times New Roman" w:hAnsi="Times New Roman"/>
          <w:i/>
          <w:sz w:val="22"/>
        </w:rPr>
        <w:t>sarf</w:t>
      </w:r>
      <w:r>
        <w:rPr>
          <w:rFonts w:ascii="Times New Roman" w:eastAsia="Times New Roman" w:hAnsi="Times New Roman"/>
          <w:sz w:val="22"/>
        </w:rPr>
        <w:t xml:space="preserve">, </w:t>
      </w:r>
      <w:r>
        <w:rPr>
          <w:rFonts w:ascii="Times New Roman" w:eastAsia="Times New Roman" w:hAnsi="Times New Roman"/>
          <w:i/>
          <w:sz w:val="22"/>
        </w:rPr>
        <w:t>avliye</w:t>
      </w:r>
      <w:r>
        <w:rPr>
          <w:rFonts w:ascii="Times New Roman" w:eastAsia="Times New Roman" w:hAnsi="Times New Roman"/>
          <w:sz w:val="22"/>
        </w:rPr>
        <w:t xml:space="preserve"> ve daha başka konularda kabul görmeyen görüşleri olduğunu, buna rağmen bu görüşlerinin nakledildiğini söylemektedir. Zehebi, Zâhirîlerin tuhaf gö-rünen görüşlerini Kûfelilerin nebiz hakkındaki görüşlerine benzetmekte ve Kûfelilerin nebiz hakkındaki görüşlerinin diğer görüşlerini önemsiz kılmama-sı gibi Zâhirilerin bütün görüşlerinin bazı görüşlerinden dolayı önemsiz kabul edilemeyeceğini söylemektedir.</w:t>
      </w:r>
      <w:r>
        <w:rPr>
          <w:rFonts w:ascii="Times New Roman" w:eastAsia="Times New Roman" w:hAnsi="Times New Roman"/>
          <w:sz w:val="12"/>
        </w:rPr>
        <w:t>89</w:t>
      </w:r>
    </w:p>
    <w:p w:rsidR="000302E7" w:rsidRDefault="000302E7" w:rsidP="000302E7">
      <w:pPr>
        <w:spacing w:line="3" w:lineRule="exact"/>
        <w:rPr>
          <w:rFonts w:ascii="Times New Roman" w:eastAsia="Times New Roman" w:hAnsi="Times New Roman"/>
        </w:rPr>
      </w:pPr>
    </w:p>
    <w:p w:rsidR="000302E7" w:rsidRDefault="000302E7" w:rsidP="000302E7">
      <w:pPr>
        <w:spacing w:line="286" w:lineRule="auto"/>
        <w:ind w:left="6" w:firstLine="284"/>
        <w:jc w:val="both"/>
        <w:rPr>
          <w:rFonts w:ascii="Times New Roman" w:eastAsia="Times New Roman" w:hAnsi="Times New Roman"/>
          <w:sz w:val="12"/>
        </w:rPr>
      </w:pPr>
      <w:r>
        <w:rPr>
          <w:rFonts w:ascii="Times New Roman" w:eastAsia="Times New Roman" w:hAnsi="Times New Roman"/>
          <w:sz w:val="22"/>
        </w:rPr>
        <w:t>Dâvûdun hilafına veya muvafakatına itibar edilmesinin, sadece önceden sabit olan bir icmâı delen görüşleri (örneğin sadece hadiste belirtilen altı sınıf-ta riba olacağını söylemeleri) dolayısıyla doğru olacağı şeklinde bir yaklaşım da söz konusudur.</w:t>
      </w:r>
      <w:r>
        <w:rPr>
          <w:rFonts w:ascii="Times New Roman" w:eastAsia="Times New Roman" w:hAnsi="Times New Roman"/>
          <w:sz w:val="12"/>
        </w:rPr>
        <w:t>90</w:t>
      </w:r>
    </w:p>
    <w:p w:rsidR="000302E7" w:rsidRDefault="000302E7" w:rsidP="000302E7">
      <w:pPr>
        <w:spacing w:line="20" w:lineRule="exact"/>
        <w:rPr>
          <w:rFonts w:ascii="Times New Roman" w:eastAsia="Times New Roman" w:hAnsi="Times New Roman"/>
        </w:rPr>
      </w:pPr>
      <w:r>
        <w:rPr>
          <w:rFonts w:ascii="Times New Roman" w:eastAsia="Times New Roman" w:hAnsi="Times New Roman"/>
          <w:sz w:val="12"/>
        </w:rPr>
        <w:pict>
          <v:line id="_x0000_s1027" style="position:absolute;z-index:-251655168" from="0,9.8pt" to="141.7pt,9.8pt" o:userdrawn="t" strokeweight=".25pt"/>
        </w:pict>
      </w:r>
    </w:p>
    <w:p w:rsidR="000302E7" w:rsidRDefault="000302E7" w:rsidP="000302E7">
      <w:pPr>
        <w:spacing w:line="20" w:lineRule="exact"/>
        <w:rPr>
          <w:rFonts w:ascii="Times New Roman" w:eastAsia="Times New Roman" w:hAnsi="Times New Roman"/>
        </w:rPr>
        <w:sectPr w:rsidR="000302E7">
          <w:pgSz w:w="9240" w:h="13663"/>
          <w:pgMar w:top="1248" w:right="1301" w:bottom="699" w:left="1134" w:header="0" w:footer="0" w:gutter="0"/>
          <w:cols w:space="0" w:equalWidth="0">
            <w:col w:w="6806"/>
          </w:cols>
          <w:docGrid w:linePitch="360"/>
        </w:sectPr>
      </w:pPr>
    </w:p>
    <w:p w:rsidR="000302E7" w:rsidRDefault="000302E7" w:rsidP="000302E7">
      <w:pPr>
        <w:spacing w:line="226" w:lineRule="exact"/>
        <w:rPr>
          <w:rFonts w:ascii="Times New Roman" w:eastAsia="Times New Roman" w:hAnsi="Times New Roman"/>
        </w:rPr>
      </w:pPr>
    </w:p>
    <w:p w:rsidR="000302E7" w:rsidRDefault="000302E7" w:rsidP="000302E7">
      <w:pPr>
        <w:numPr>
          <w:ilvl w:val="0"/>
          <w:numId w:val="7"/>
        </w:numPr>
        <w:tabs>
          <w:tab w:val="left" w:pos="226"/>
        </w:tabs>
        <w:spacing w:line="0" w:lineRule="atLeast"/>
        <w:ind w:left="226" w:hanging="226"/>
        <w:rPr>
          <w:rFonts w:ascii="Times New Roman" w:eastAsia="Times New Roman" w:hAnsi="Times New Roman"/>
          <w:sz w:val="15"/>
        </w:rPr>
      </w:pPr>
      <w:r>
        <w:rPr>
          <w:rFonts w:ascii="Times New Roman" w:eastAsia="Times New Roman" w:hAnsi="Times New Roman"/>
          <w:sz w:val="15"/>
        </w:rPr>
        <w:t xml:space="preserve">Zehebî, </w:t>
      </w:r>
      <w:r>
        <w:rPr>
          <w:rFonts w:ascii="Times New Roman" w:eastAsia="Times New Roman" w:hAnsi="Times New Roman"/>
          <w:i/>
          <w:sz w:val="15"/>
        </w:rPr>
        <w:t>Nüzhetü’l-Fudalâ</w:t>
      </w:r>
      <w:r>
        <w:rPr>
          <w:rFonts w:ascii="Times New Roman" w:eastAsia="Times New Roman" w:hAnsi="Times New Roman"/>
          <w:sz w:val="15"/>
        </w:rPr>
        <w:t>, II/946-947.</w:t>
      </w:r>
    </w:p>
    <w:p w:rsidR="000302E7" w:rsidRDefault="000302E7" w:rsidP="000302E7">
      <w:pPr>
        <w:spacing w:line="38" w:lineRule="exact"/>
        <w:rPr>
          <w:rFonts w:ascii="Times New Roman" w:eastAsia="Times New Roman" w:hAnsi="Times New Roman"/>
          <w:sz w:val="15"/>
        </w:rPr>
      </w:pPr>
    </w:p>
    <w:p w:rsidR="000302E7" w:rsidRDefault="000302E7" w:rsidP="000302E7">
      <w:pPr>
        <w:numPr>
          <w:ilvl w:val="0"/>
          <w:numId w:val="7"/>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 xml:space="preserve">Zehebî, </w:t>
      </w:r>
      <w:r>
        <w:rPr>
          <w:rFonts w:ascii="Times New Roman" w:eastAsia="Times New Roman" w:hAnsi="Times New Roman"/>
          <w:i/>
          <w:sz w:val="16"/>
        </w:rPr>
        <w:t>Târihu’l-İslâm</w:t>
      </w:r>
      <w:r>
        <w:rPr>
          <w:rFonts w:ascii="Times New Roman" w:eastAsia="Times New Roman" w:hAnsi="Times New Roman"/>
          <w:sz w:val="16"/>
        </w:rPr>
        <w:t>, XX/92.</w:t>
      </w:r>
    </w:p>
    <w:p w:rsidR="000302E7" w:rsidRDefault="000302E7" w:rsidP="000302E7">
      <w:pPr>
        <w:spacing w:line="8" w:lineRule="exact"/>
        <w:rPr>
          <w:rFonts w:ascii="Times New Roman" w:eastAsia="Times New Roman" w:hAnsi="Times New Roman"/>
          <w:sz w:val="16"/>
        </w:rPr>
      </w:pPr>
    </w:p>
    <w:p w:rsidR="000302E7" w:rsidRDefault="000302E7" w:rsidP="000302E7">
      <w:pPr>
        <w:numPr>
          <w:ilvl w:val="0"/>
          <w:numId w:val="7"/>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Sübkî, II/291.</w:t>
      </w:r>
    </w:p>
    <w:p w:rsidR="000302E7" w:rsidRDefault="000302E7" w:rsidP="000302E7">
      <w:pPr>
        <w:tabs>
          <w:tab w:val="left" w:pos="226"/>
        </w:tabs>
        <w:spacing w:line="0" w:lineRule="atLeast"/>
        <w:ind w:left="226" w:hanging="226"/>
        <w:rPr>
          <w:rFonts w:ascii="Times New Roman" w:eastAsia="Times New Roman" w:hAnsi="Times New Roman"/>
          <w:sz w:val="16"/>
        </w:rPr>
        <w:sectPr w:rsidR="000302E7">
          <w:type w:val="continuous"/>
          <w:pgSz w:w="9240" w:h="13663"/>
          <w:pgMar w:top="1248" w:right="1301" w:bottom="699" w:left="1134" w:header="0" w:footer="0" w:gutter="0"/>
          <w:cols w:space="0" w:equalWidth="0">
            <w:col w:w="6806"/>
          </w:cols>
          <w:docGrid w:linePitch="360"/>
        </w:sectPr>
      </w:pPr>
    </w:p>
    <w:p w:rsidR="000302E7" w:rsidRDefault="000302E7" w:rsidP="000302E7">
      <w:pPr>
        <w:tabs>
          <w:tab w:val="left" w:pos="5840"/>
        </w:tabs>
        <w:spacing w:line="0" w:lineRule="atLeast"/>
        <w:rPr>
          <w:rFonts w:ascii="Times New Roman" w:eastAsia="Times New Roman" w:hAnsi="Times New Roman"/>
          <w:i/>
          <w:sz w:val="13"/>
        </w:rPr>
      </w:pPr>
      <w:bookmarkStart w:id="1" w:name="page20"/>
      <w:bookmarkEnd w:id="1"/>
      <w:r>
        <w:rPr>
          <w:rFonts w:ascii="Times New Roman" w:eastAsia="Times New Roman" w:hAnsi="Times New Roman"/>
          <w:sz w:val="17"/>
        </w:rPr>
        <w:lastRenderedPageBreak/>
        <w:t>156</w:t>
      </w:r>
      <w:r>
        <w:rPr>
          <w:rFonts w:ascii="Times New Roman" w:eastAsia="Times New Roman" w:hAnsi="Times New Roman"/>
        </w:rPr>
        <w:tab/>
      </w:r>
      <w:r>
        <w:rPr>
          <w:rFonts w:ascii="Times New Roman" w:eastAsia="Times New Roman" w:hAnsi="Times New Roman"/>
          <w:i/>
          <w:sz w:val="13"/>
        </w:rPr>
        <w:t>OĞUZHAN TAN</w:t>
      </w:r>
    </w:p>
    <w:p w:rsidR="000302E7" w:rsidRDefault="000302E7" w:rsidP="000302E7">
      <w:pPr>
        <w:spacing w:line="200" w:lineRule="exact"/>
        <w:rPr>
          <w:rFonts w:ascii="Times New Roman" w:eastAsia="Times New Roman" w:hAnsi="Times New Roman"/>
        </w:rPr>
      </w:pPr>
    </w:p>
    <w:p w:rsidR="000302E7" w:rsidRDefault="000302E7" w:rsidP="000302E7">
      <w:pPr>
        <w:spacing w:line="200" w:lineRule="exact"/>
        <w:rPr>
          <w:rFonts w:ascii="Times New Roman" w:eastAsia="Times New Roman" w:hAnsi="Times New Roman"/>
        </w:rPr>
      </w:pPr>
    </w:p>
    <w:p w:rsidR="000302E7" w:rsidRDefault="000302E7" w:rsidP="000302E7">
      <w:pPr>
        <w:spacing w:line="254" w:lineRule="exact"/>
        <w:rPr>
          <w:rFonts w:ascii="Times New Roman" w:eastAsia="Times New Roman" w:hAnsi="Times New Roman"/>
        </w:rPr>
      </w:pPr>
    </w:p>
    <w:p w:rsidR="000302E7" w:rsidRDefault="000302E7" w:rsidP="000302E7">
      <w:pPr>
        <w:spacing w:line="288" w:lineRule="auto"/>
        <w:ind w:firstLine="284"/>
        <w:jc w:val="both"/>
        <w:rPr>
          <w:rFonts w:ascii="Times New Roman" w:eastAsia="Times New Roman" w:hAnsi="Times New Roman"/>
          <w:sz w:val="21"/>
        </w:rPr>
      </w:pPr>
      <w:r>
        <w:rPr>
          <w:rFonts w:ascii="Times New Roman" w:eastAsia="Times New Roman" w:hAnsi="Times New Roman"/>
          <w:sz w:val="21"/>
        </w:rPr>
        <w:t>Dört mezhep, her ne kadar birbirinden farklı mezheplerden ibaret olsa da en yaygın sünnî fıkıh mezhepleri olmaları itibarıyla birbirleri hakkında olum-suz bir bakış açısına sahip değillerdir. Fakat bu mezhepler, zâhirilik gibi sünnî olan fakat kıyâsı ve re’y çeşitlerini reddeden ve giderek yayılan</w:t>
      </w:r>
      <w:r>
        <w:rPr>
          <w:rFonts w:ascii="Times New Roman" w:eastAsia="Times New Roman" w:hAnsi="Times New Roman"/>
          <w:sz w:val="12"/>
        </w:rPr>
        <w:t>91</w:t>
      </w:r>
      <w:r>
        <w:rPr>
          <w:rFonts w:ascii="Times New Roman" w:eastAsia="Times New Roman" w:hAnsi="Times New Roman"/>
          <w:sz w:val="21"/>
        </w:rPr>
        <w:t xml:space="preserve"> bir anlayışı sünnî fıkıh düşüncesi içerisinde değerlendirmeye ve konumlandırmaya çalış-mışlardır. Zâhirilikle ilgili ortaya atılan görüşlerin söz konusu konumlandırma çabalarının bir tezahürü olduğunu söylemek mümkündür. Zâhirîliğin sünnî fıkıh ekollerinin temel karakteristiğini yansıtmadığını düşünenler, Zâhirîliği haricîlik ya da haşeviye gibi mezheplerle irtibatlandırmışlardır. Zira önde ge-len sünnî fıkıh mezheplerinin ortak özelliklerinden biri de fıkhın kaynakları arasında kıyasa yer vermeleridir.</w:t>
      </w:r>
    </w:p>
    <w:p w:rsidR="000302E7" w:rsidRDefault="000302E7" w:rsidP="000302E7">
      <w:pPr>
        <w:spacing w:line="2" w:lineRule="exact"/>
        <w:rPr>
          <w:rFonts w:ascii="Times New Roman" w:eastAsia="Times New Roman" w:hAnsi="Times New Roman"/>
        </w:rPr>
      </w:pPr>
    </w:p>
    <w:p w:rsidR="000302E7" w:rsidRDefault="000302E7" w:rsidP="000302E7">
      <w:pPr>
        <w:spacing w:line="292" w:lineRule="auto"/>
        <w:ind w:firstLine="283"/>
        <w:jc w:val="both"/>
        <w:rPr>
          <w:rFonts w:ascii="Times New Roman" w:eastAsia="Times New Roman" w:hAnsi="Times New Roman"/>
          <w:sz w:val="12"/>
        </w:rPr>
      </w:pPr>
      <w:r>
        <w:rPr>
          <w:rFonts w:ascii="Times New Roman" w:eastAsia="Times New Roman" w:hAnsi="Times New Roman"/>
          <w:sz w:val="21"/>
        </w:rPr>
        <w:t>Fıkhî mezheplerin oluşumunda ve sınıflandırılmasında genelde reye, özel-de ise kıyâsa verilen yer ve önem farklılığının çok önemli bir etkisi vardır. Zâhirîliğin değerlendirilmesinde de bu durum etkisini göstermiştir. Zâhirîlik, sünnî mezhepler içerisinde re’ye özgürlük verme bakımından listenin en so-nunda yer almaktadır.</w:t>
      </w:r>
      <w:r>
        <w:rPr>
          <w:rFonts w:ascii="Times New Roman" w:eastAsia="Times New Roman" w:hAnsi="Times New Roman"/>
          <w:sz w:val="12"/>
        </w:rPr>
        <w:t>92</w:t>
      </w:r>
      <w:r>
        <w:rPr>
          <w:rFonts w:ascii="Times New Roman" w:eastAsia="Times New Roman" w:hAnsi="Times New Roman"/>
          <w:sz w:val="21"/>
        </w:rPr>
        <w:t xml:space="preserve"> Ebû Hanîfe hadisleri kaynak olarak kabul etmekle birlikte re’yin çerçevesini genişletmiştir. Şâfiî ise hadise daha geniş bir alan tanıyarak kıyâs dairesini daraltmıştır. Hatta Kıyâs dışındaki re’ye dayalı is-tidlal usûllerini muteber görmemiştir. Malik de kıyâsta Şâfiî kadar genişlik göstermemiştir. Bununla beraber kıyâs dışındaki prensiplere dayanmakta da sakınca görmemiştir. Ahmed b. Hanbel ise çok ciddi bir zaruret olmadıkça kıyâsa başvurulmaması gerektiği görüşünü savunmaktadır.</w:t>
      </w:r>
      <w:r>
        <w:rPr>
          <w:rFonts w:ascii="Times New Roman" w:eastAsia="Times New Roman" w:hAnsi="Times New Roman"/>
          <w:sz w:val="12"/>
        </w:rPr>
        <w:t>93</w:t>
      </w:r>
      <w:r>
        <w:rPr>
          <w:rFonts w:ascii="Times New Roman" w:eastAsia="Times New Roman" w:hAnsi="Times New Roman"/>
          <w:sz w:val="21"/>
        </w:rPr>
        <w:t xml:space="preserve"> Zâhirîlerin öte-ki mezheplere yakınlığı veya uzaklığı konusunda da çeşitli değerlendirme-ler yapılmıştır. Buna göre Zâhirîliğin, dört Sünnî fıkıh mezhebi içerisinden Şâfiî mezhebine daha yakın olduğu, ondan sonra sırasıyla Hanbelî, Mâlikî ve Hanefî mezheplerinin geldiği söylenmiştir.</w:t>
      </w:r>
      <w:r>
        <w:rPr>
          <w:rFonts w:ascii="Times New Roman" w:eastAsia="Times New Roman" w:hAnsi="Times New Roman"/>
          <w:sz w:val="12"/>
        </w:rPr>
        <w:t>94</w:t>
      </w:r>
    </w:p>
    <w:p w:rsidR="000302E7" w:rsidRDefault="000302E7" w:rsidP="000302E7">
      <w:pPr>
        <w:spacing w:line="20" w:lineRule="exact"/>
        <w:rPr>
          <w:rFonts w:ascii="Times New Roman" w:eastAsia="Times New Roman" w:hAnsi="Times New Roman"/>
        </w:rPr>
      </w:pPr>
      <w:r>
        <w:rPr>
          <w:rFonts w:ascii="Times New Roman" w:eastAsia="Times New Roman" w:hAnsi="Times New Roman"/>
          <w:sz w:val="12"/>
        </w:rPr>
        <w:pict>
          <v:line id="_x0000_s1028" style="position:absolute;z-index:-251654144" from=".15pt,18.55pt" to="141.9pt,18.55pt" o:userdrawn="t" strokeweight=".25pt"/>
        </w:pict>
      </w:r>
    </w:p>
    <w:p w:rsidR="000302E7" w:rsidRDefault="000302E7" w:rsidP="000302E7">
      <w:pPr>
        <w:spacing w:line="383" w:lineRule="exact"/>
        <w:rPr>
          <w:rFonts w:ascii="Times New Roman" w:eastAsia="Times New Roman" w:hAnsi="Times New Roman"/>
        </w:rPr>
      </w:pPr>
    </w:p>
    <w:p w:rsidR="000302E7" w:rsidRDefault="000302E7" w:rsidP="000302E7">
      <w:pPr>
        <w:spacing w:line="254" w:lineRule="auto"/>
        <w:ind w:left="240" w:hanging="226"/>
        <w:jc w:val="both"/>
        <w:rPr>
          <w:rFonts w:ascii="Times New Roman" w:eastAsia="Times New Roman" w:hAnsi="Times New Roman"/>
          <w:sz w:val="16"/>
        </w:rPr>
      </w:pPr>
      <w:r>
        <w:rPr>
          <w:rFonts w:ascii="Times New Roman" w:eastAsia="Times New Roman" w:hAnsi="Times New Roman"/>
          <w:sz w:val="16"/>
        </w:rPr>
        <w:t xml:space="preserve">91 Zâhirî Mezhebinin üçüncü ve dördüncü asırlarda oldukça yaygın bir şekilde benimsendiği be-lirtilmektedir. Makdisî, bir tarihçi gözüyle gezmiş olduğu ülkelerin çeşitli özelliklerinden bahsederken buralarda hakim olan fıkhi mezheplere de değinmektedir. Dolaştığı yerlerde en çok kabul gören dört mezhepten bahsetmekte ve Zâhirî mezhebini, Dâvûdiye adıyla Hanefi, Maliki ve Şafiî mezhebinden sonra saymaktadır. (Bkz Şemsüddîn Ebû Abdillâh Muhammed el-Makdisî, </w:t>
      </w:r>
      <w:r>
        <w:rPr>
          <w:rFonts w:ascii="Times New Roman" w:eastAsia="Times New Roman" w:hAnsi="Times New Roman"/>
          <w:i/>
          <w:sz w:val="16"/>
        </w:rPr>
        <w:t>Kitâbu Ahseni’t-Tekâsîm fî</w:t>
      </w:r>
      <w:r>
        <w:rPr>
          <w:rFonts w:ascii="Times New Roman" w:eastAsia="Times New Roman" w:hAnsi="Times New Roman"/>
          <w:sz w:val="16"/>
        </w:rPr>
        <w:t xml:space="preserve"> </w:t>
      </w:r>
      <w:r>
        <w:rPr>
          <w:rFonts w:ascii="Times New Roman" w:eastAsia="Times New Roman" w:hAnsi="Times New Roman"/>
          <w:i/>
          <w:sz w:val="16"/>
        </w:rPr>
        <w:t>ma’rifeti’l-Ekâlîm</w:t>
      </w:r>
      <w:r>
        <w:rPr>
          <w:rFonts w:ascii="Times New Roman" w:eastAsia="Times New Roman" w:hAnsi="Times New Roman"/>
          <w:sz w:val="16"/>
        </w:rPr>
        <w:t>, Dâru Sâdir, Beyrût (t.y.), s. 37.)</w:t>
      </w:r>
    </w:p>
    <w:p w:rsidR="000302E7" w:rsidRDefault="000302E7" w:rsidP="000302E7">
      <w:pPr>
        <w:spacing w:line="250" w:lineRule="auto"/>
        <w:ind w:left="240"/>
        <w:jc w:val="both"/>
        <w:rPr>
          <w:rFonts w:ascii="Times New Roman" w:eastAsia="Times New Roman" w:hAnsi="Times New Roman"/>
          <w:sz w:val="16"/>
        </w:rPr>
      </w:pPr>
      <w:r>
        <w:rPr>
          <w:rFonts w:ascii="Times New Roman" w:eastAsia="Times New Roman" w:hAnsi="Times New Roman"/>
          <w:sz w:val="16"/>
        </w:rPr>
        <w:t>Özellikle Cüveynî zamanında, Dâvûd’un mezhebinin daha da yaygınlık kazandığı, ondan sonra mezhe-bin Şîrâz ile Irâk arasında yayıldığı, bu derecede bir yayılmanın aynı şekilde Endelüs’te de gerçekleşti-ğinden bahsedilmektedir (Bkz: Hacvî, III/24.).</w:t>
      </w:r>
    </w:p>
    <w:p w:rsidR="000302E7" w:rsidRDefault="000302E7" w:rsidP="000302E7">
      <w:pPr>
        <w:spacing w:line="1" w:lineRule="exact"/>
        <w:rPr>
          <w:rFonts w:ascii="Times New Roman" w:eastAsia="Times New Roman" w:hAnsi="Times New Roman"/>
        </w:rPr>
      </w:pPr>
    </w:p>
    <w:p w:rsidR="000302E7" w:rsidRDefault="000302E7" w:rsidP="000302E7">
      <w:pPr>
        <w:numPr>
          <w:ilvl w:val="0"/>
          <w:numId w:val="8"/>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Ahmed Emîn, </w:t>
      </w:r>
      <w:r>
        <w:rPr>
          <w:rFonts w:ascii="Times New Roman" w:eastAsia="Times New Roman" w:hAnsi="Times New Roman"/>
          <w:i/>
          <w:sz w:val="16"/>
        </w:rPr>
        <w:t>Duha’l-İslâm</w:t>
      </w:r>
      <w:r>
        <w:rPr>
          <w:rFonts w:ascii="Times New Roman" w:eastAsia="Times New Roman" w:hAnsi="Times New Roman"/>
          <w:sz w:val="16"/>
        </w:rPr>
        <w:t>, II/241.</w:t>
      </w:r>
    </w:p>
    <w:p w:rsidR="000302E7" w:rsidRDefault="000302E7" w:rsidP="000302E7">
      <w:pPr>
        <w:spacing w:line="8" w:lineRule="exact"/>
        <w:rPr>
          <w:rFonts w:ascii="Times New Roman" w:eastAsia="Times New Roman" w:hAnsi="Times New Roman"/>
          <w:sz w:val="16"/>
        </w:rPr>
      </w:pPr>
    </w:p>
    <w:p w:rsidR="000302E7" w:rsidRDefault="000302E7" w:rsidP="000302E7">
      <w:pPr>
        <w:numPr>
          <w:ilvl w:val="0"/>
          <w:numId w:val="8"/>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Ahmed Emîn, </w:t>
      </w:r>
      <w:r>
        <w:rPr>
          <w:rFonts w:ascii="Times New Roman" w:eastAsia="Times New Roman" w:hAnsi="Times New Roman"/>
          <w:i/>
          <w:sz w:val="16"/>
        </w:rPr>
        <w:t>Duha’l-İslâm</w:t>
      </w:r>
      <w:r>
        <w:rPr>
          <w:rFonts w:ascii="Times New Roman" w:eastAsia="Times New Roman" w:hAnsi="Times New Roman"/>
          <w:sz w:val="16"/>
        </w:rPr>
        <w:t>, II/242.</w:t>
      </w:r>
    </w:p>
    <w:p w:rsidR="000302E7" w:rsidRDefault="000302E7" w:rsidP="000302E7">
      <w:pPr>
        <w:spacing w:line="8" w:lineRule="exact"/>
        <w:rPr>
          <w:rFonts w:ascii="Times New Roman" w:eastAsia="Times New Roman" w:hAnsi="Times New Roman"/>
          <w:sz w:val="16"/>
        </w:rPr>
      </w:pPr>
    </w:p>
    <w:p w:rsidR="000302E7" w:rsidRDefault="000302E7" w:rsidP="000302E7">
      <w:pPr>
        <w:numPr>
          <w:ilvl w:val="0"/>
          <w:numId w:val="8"/>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Hacvî, III/24.</w:t>
      </w:r>
    </w:p>
    <w:p w:rsidR="00D93C16" w:rsidRDefault="000302E7"/>
    <w:sectPr w:rsidR="00D93C16"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35225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09CF92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DED726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FDCC2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0"/>
    <w:multiLevelType w:val="hybridMultilevel"/>
    <w:tmpl w:val="7C83E458"/>
    <w:lvl w:ilvl="0" w:tplc="FFFFFFFF">
      <w:start w:val="8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257130A2"/>
    <w:lvl w:ilvl="0" w:tplc="FFFFFFFF">
      <w:start w:val="8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2"/>
    <w:multiLevelType w:val="hybridMultilevel"/>
    <w:tmpl w:val="62BBD95A"/>
    <w:lvl w:ilvl="0" w:tplc="FFFFFFFF">
      <w:start w:val="9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70853"/>
    <w:rsid w:val="000302E7"/>
    <w:rsid w:val="00354863"/>
    <w:rsid w:val="00402397"/>
    <w:rsid w:val="00534153"/>
    <w:rsid w:val="00680C6B"/>
    <w:rsid w:val="00974306"/>
    <w:rsid w:val="00A70853"/>
    <w:rsid w:val="00FD01B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53"/>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3</cp:revision>
  <dcterms:created xsi:type="dcterms:W3CDTF">2020-07-17T16:22:00Z</dcterms:created>
  <dcterms:modified xsi:type="dcterms:W3CDTF">2020-07-17T22:34:00Z</dcterms:modified>
</cp:coreProperties>
</file>