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4B" w:rsidRDefault="0065234B" w:rsidP="0065234B">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Zâhirîler ise doğal olarak kendilerini sapık fırkalar olarak bilinen mezhep ve kişiler safında değil de ehl-i hadis geleneği içerisinde görmektedirler. Zira ehl-i hadis hareketi içerisinde, re’ye cephe almış fakat Müslümanlar arasında ciddi bir saygınlığa sahip olan başka kişiler de vardır. Örneğin Dâvûd’dan önce Şa’bî’nin (104h.) de reye karşı olduğu, hatta ehl-i re’yden olduğu bilinen Hammâd b. Ebî Süleymân’ın mesciddeki ilim meclisleri yüzünden mescide gitmekten bile soğuduğunu söylediği rivayet edilmiştir.</w:t>
      </w:r>
      <w:r>
        <w:rPr>
          <w:rFonts w:ascii="Times New Roman" w:eastAsia="Times New Roman" w:hAnsi="Times New Roman"/>
          <w:sz w:val="12"/>
        </w:rPr>
        <w:t>95</w:t>
      </w:r>
    </w:p>
    <w:p w:rsidR="0065234B" w:rsidRDefault="0065234B" w:rsidP="0065234B">
      <w:pPr>
        <w:spacing w:line="5" w:lineRule="exact"/>
        <w:rPr>
          <w:rFonts w:ascii="Times New Roman" w:eastAsia="Times New Roman" w:hAnsi="Times New Roman"/>
        </w:rPr>
      </w:pPr>
    </w:p>
    <w:p w:rsidR="0065234B" w:rsidRDefault="0065234B" w:rsidP="0065234B">
      <w:pPr>
        <w:spacing w:line="284" w:lineRule="auto"/>
        <w:ind w:left="6" w:firstLine="284"/>
        <w:jc w:val="both"/>
        <w:rPr>
          <w:rFonts w:ascii="Times New Roman" w:eastAsia="Times New Roman" w:hAnsi="Times New Roman"/>
          <w:sz w:val="12"/>
        </w:rPr>
      </w:pPr>
      <w:r>
        <w:rPr>
          <w:rFonts w:ascii="Times New Roman" w:eastAsia="Times New Roman" w:hAnsi="Times New Roman"/>
          <w:sz w:val="22"/>
        </w:rPr>
        <w:t xml:space="preserve">Aynı şekilde </w:t>
      </w:r>
      <w:proofErr w:type="gramStart"/>
      <w:r>
        <w:rPr>
          <w:rFonts w:ascii="Times New Roman" w:eastAsia="Times New Roman" w:hAnsi="Times New Roman"/>
          <w:sz w:val="22"/>
        </w:rPr>
        <w:t>bir çok</w:t>
      </w:r>
      <w:proofErr w:type="gramEnd"/>
      <w:r>
        <w:rPr>
          <w:rFonts w:ascii="Times New Roman" w:eastAsia="Times New Roman" w:hAnsi="Times New Roman"/>
          <w:sz w:val="22"/>
        </w:rPr>
        <w:t xml:space="preserve"> mezhep mensubunun kendi mezhebinden saydığı</w:t>
      </w:r>
      <w:r>
        <w:rPr>
          <w:rFonts w:ascii="Times New Roman" w:eastAsia="Times New Roman" w:hAnsi="Times New Roman"/>
          <w:sz w:val="12"/>
        </w:rPr>
        <w:t>96</w:t>
      </w:r>
      <w:r>
        <w:rPr>
          <w:rFonts w:ascii="Times New Roman" w:eastAsia="Times New Roman" w:hAnsi="Times New Roman"/>
          <w:sz w:val="22"/>
        </w:rPr>
        <w:t xml:space="preserve"> İmâm Buhârî’nin (256h./870m.) Sahîh’inde </w:t>
      </w:r>
      <w:r>
        <w:rPr>
          <w:rFonts w:ascii="Times New Roman" w:eastAsia="Times New Roman" w:hAnsi="Times New Roman"/>
          <w:i/>
          <w:sz w:val="22"/>
        </w:rPr>
        <w:t>“Hz. Peygamber’in, hakkında</w:t>
      </w:r>
      <w:r>
        <w:rPr>
          <w:rFonts w:ascii="Times New Roman" w:eastAsia="Times New Roman" w:hAnsi="Times New Roman"/>
          <w:sz w:val="22"/>
        </w:rPr>
        <w:t xml:space="preserve"> </w:t>
      </w:r>
      <w:r>
        <w:rPr>
          <w:rFonts w:ascii="Times New Roman" w:eastAsia="Times New Roman" w:hAnsi="Times New Roman"/>
          <w:i/>
          <w:sz w:val="22"/>
        </w:rPr>
        <w:t>vahiy inmemiş bir konu hakkında kendisine soru sorulduğunda “bilmiyorum/ lâ edrî” dediğine, vahiy ininceye kadar bir cevap vermediğine ve kıyâsla ya-hut ne re’yle görüş beyan etmediğine dair bâb”</w:t>
      </w:r>
      <w:r>
        <w:rPr>
          <w:rFonts w:ascii="Times New Roman" w:eastAsia="Times New Roman" w:hAnsi="Times New Roman"/>
          <w:sz w:val="12"/>
        </w:rPr>
        <w:t>97</w:t>
      </w:r>
      <w:r>
        <w:rPr>
          <w:rFonts w:ascii="Times New Roman" w:eastAsia="Times New Roman" w:hAnsi="Times New Roman"/>
          <w:i/>
          <w:sz w:val="22"/>
        </w:rPr>
        <w:t xml:space="preserve"> </w:t>
      </w:r>
      <w:r>
        <w:rPr>
          <w:rFonts w:ascii="Times New Roman" w:eastAsia="Times New Roman" w:hAnsi="Times New Roman"/>
          <w:sz w:val="22"/>
        </w:rPr>
        <w:t>şeklinde başlıklar yer al-maktadır. Buharî’nin bu bablarda ileri sürdüğü bazı hadislerden kendisinin de kıyâsa cephe alanlardan olduğu anlaşılmaktadır. Buharî, çeşitli bâb başlıkla-rında kıyâsı kabul etmediğini gösteren ifadelere yer vermektedir.</w:t>
      </w:r>
      <w:r>
        <w:rPr>
          <w:rFonts w:ascii="Times New Roman" w:eastAsia="Times New Roman" w:hAnsi="Times New Roman"/>
          <w:sz w:val="12"/>
        </w:rPr>
        <w:t>98</w:t>
      </w:r>
    </w:p>
    <w:p w:rsidR="0065234B" w:rsidRDefault="0065234B" w:rsidP="0065234B">
      <w:pPr>
        <w:spacing w:line="5" w:lineRule="exact"/>
        <w:rPr>
          <w:rFonts w:ascii="Times New Roman" w:eastAsia="Times New Roman" w:hAnsi="Times New Roman"/>
        </w:rPr>
      </w:pPr>
    </w:p>
    <w:p w:rsidR="0065234B" w:rsidRDefault="0065234B" w:rsidP="0065234B">
      <w:pPr>
        <w:spacing w:line="300" w:lineRule="auto"/>
        <w:ind w:left="6" w:firstLine="284"/>
        <w:jc w:val="both"/>
        <w:rPr>
          <w:rFonts w:ascii="Times New Roman" w:eastAsia="Times New Roman" w:hAnsi="Times New Roman"/>
          <w:sz w:val="22"/>
        </w:rPr>
      </w:pPr>
      <w:r>
        <w:rPr>
          <w:rFonts w:ascii="Times New Roman" w:eastAsia="Times New Roman" w:hAnsi="Times New Roman"/>
          <w:sz w:val="22"/>
        </w:rPr>
        <w:t>Kıyas karşıtı olmakla birlikte yaygın sünnî fıkıh ekolleri tarafından saygı ile karşılanan bu kişilerin varlığı, re’y karşıtlarının tamamen dışlanmamasını sağlamıştır.</w:t>
      </w:r>
    </w:p>
    <w:p w:rsidR="0065234B" w:rsidRDefault="0065234B" w:rsidP="0065234B">
      <w:pPr>
        <w:spacing w:line="231" w:lineRule="exact"/>
        <w:rPr>
          <w:rFonts w:ascii="Times New Roman" w:eastAsia="Times New Roman" w:hAnsi="Times New Roman"/>
        </w:rPr>
      </w:pPr>
    </w:p>
    <w:p w:rsidR="0065234B" w:rsidRDefault="0065234B" w:rsidP="0065234B">
      <w:pPr>
        <w:spacing w:line="0" w:lineRule="atLeast"/>
        <w:ind w:left="286"/>
        <w:rPr>
          <w:rFonts w:ascii="Times New Roman" w:eastAsia="Times New Roman" w:hAnsi="Times New Roman"/>
          <w:b/>
          <w:sz w:val="22"/>
        </w:rPr>
      </w:pPr>
      <w:r>
        <w:rPr>
          <w:rFonts w:ascii="Times New Roman" w:eastAsia="Times New Roman" w:hAnsi="Times New Roman"/>
          <w:b/>
          <w:sz w:val="22"/>
        </w:rPr>
        <w:t>Dâvûd b. Alî Sonrasında Zâhirîlik</w:t>
      </w:r>
    </w:p>
    <w:p w:rsidR="0065234B" w:rsidRDefault="0065234B" w:rsidP="0065234B">
      <w:pPr>
        <w:spacing w:line="51" w:lineRule="exact"/>
        <w:rPr>
          <w:rFonts w:ascii="Times New Roman" w:eastAsia="Times New Roman" w:hAnsi="Times New Roman"/>
        </w:rPr>
      </w:pPr>
    </w:p>
    <w:p w:rsidR="0065234B" w:rsidRDefault="0065234B" w:rsidP="0065234B">
      <w:pPr>
        <w:spacing w:line="284" w:lineRule="auto"/>
        <w:ind w:left="6" w:firstLine="283"/>
        <w:jc w:val="both"/>
        <w:rPr>
          <w:rFonts w:ascii="Times New Roman" w:eastAsia="Times New Roman" w:hAnsi="Times New Roman"/>
          <w:sz w:val="12"/>
        </w:rPr>
      </w:pPr>
      <w:r>
        <w:rPr>
          <w:rFonts w:ascii="Times New Roman" w:eastAsia="Times New Roman" w:hAnsi="Times New Roman"/>
          <w:sz w:val="22"/>
        </w:rPr>
        <w:t>Dâvûd b. Alî, Zâhirî mezhebini benimsediği için tepki görmüş olmakla birlikte yaşadığı devirde ve çevrede kendisine olan ilgi tamamen kaybolma-mıştır. Bu ilginin bir göstergesi olarak onun ilim meclisinde dört yüz kişinin ders dinlediğinden bahsedilmiştir.</w:t>
      </w:r>
      <w:r>
        <w:rPr>
          <w:rFonts w:ascii="Times New Roman" w:eastAsia="Times New Roman" w:hAnsi="Times New Roman"/>
          <w:sz w:val="12"/>
        </w:rPr>
        <w:t>99</w:t>
      </w:r>
    </w:p>
    <w:p w:rsidR="0065234B" w:rsidRDefault="0065234B" w:rsidP="0065234B">
      <w:pPr>
        <w:spacing w:line="3" w:lineRule="exact"/>
        <w:rPr>
          <w:rFonts w:ascii="Times New Roman" w:eastAsia="Times New Roman" w:hAnsi="Times New Roman"/>
        </w:rPr>
      </w:pPr>
    </w:p>
    <w:p w:rsidR="0065234B" w:rsidRDefault="0065234B" w:rsidP="0065234B">
      <w:pPr>
        <w:spacing w:line="320" w:lineRule="auto"/>
        <w:ind w:left="6" w:firstLine="284"/>
        <w:jc w:val="both"/>
        <w:rPr>
          <w:rFonts w:ascii="Times New Roman" w:eastAsia="Times New Roman" w:hAnsi="Times New Roman"/>
          <w:sz w:val="21"/>
        </w:rPr>
      </w:pPr>
      <w:r>
        <w:rPr>
          <w:rFonts w:ascii="Times New Roman" w:eastAsia="Times New Roman" w:hAnsi="Times New Roman"/>
          <w:sz w:val="21"/>
        </w:rPr>
        <w:t>Dâvûd’un en önemli öğrencisi, oğlu Ebû Bekr b. Muhammed’dir. Babası-nın vefatından sonra onun yerini dolduracağına ilim adamları tarafından ön-celeri şüpheyle bakılmış</w:t>
      </w:r>
      <w:r>
        <w:rPr>
          <w:rFonts w:ascii="Times New Roman" w:eastAsia="Times New Roman" w:hAnsi="Times New Roman"/>
          <w:sz w:val="12"/>
        </w:rPr>
        <w:t>100</w:t>
      </w:r>
      <w:r>
        <w:rPr>
          <w:rFonts w:ascii="Times New Roman" w:eastAsia="Times New Roman" w:hAnsi="Times New Roman"/>
          <w:sz w:val="21"/>
        </w:rPr>
        <w:t xml:space="preserve"> ancak Ebû Bekr, ilmî kapasitesini zaman içerisinde</w:t>
      </w:r>
    </w:p>
    <w:p w:rsidR="0065234B" w:rsidRDefault="00CA36F6" w:rsidP="0065234B">
      <w:pPr>
        <w:spacing w:line="20" w:lineRule="exact"/>
        <w:rPr>
          <w:rFonts w:ascii="Times New Roman" w:eastAsia="Times New Roman" w:hAnsi="Times New Roman"/>
        </w:rPr>
      </w:pPr>
      <w:r w:rsidRPr="00CA36F6">
        <w:rPr>
          <w:rFonts w:ascii="Times New Roman" w:eastAsia="Times New Roman" w:hAnsi="Times New Roman"/>
          <w:sz w:val="21"/>
        </w:rPr>
        <w:pict>
          <v:line id="_x0000_s1026" style="position:absolute;z-index:-251656192" from="0,10.1pt" to="141.7pt,10.1pt" o:userdrawn="t" strokeweight=".25pt"/>
        </w:pict>
      </w:r>
    </w:p>
    <w:p w:rsidR="0065234B" w:rsidRDefault="0065234B" w:rsidP="0065234B">
      <w:pPr>
        <w:spacing w:line="212" w:lineRule="exact"/>
        <w:rPr>
          <w:rFonts w:ascii="Times New Roman" w:eastAsia="Times New Roman" w:hAnsi="Times New Roman"/>
        </w:rPr>
      </w:pPr>
    </w:p>
    <w:p w:rsidR="0065234B" w:rsidRDefault="0065234B" w:rsidP="0065234B">
      <w:pPr>
        <w:spacing w:line="0" w:lineRule="atLeast"/>
        <w:ind w:left="6"/>
        <w:rPr>
          <w:rFonts w:ascii="Times New Roman" w:eastAsia="Times New Roman" w:hAnsi="Times New Roman"/>
          <w:sz w:val="16"/>
        </w:rPr>
      </w:pPr>
      <w:r>
        <w:rPr>
          <w:rFonts w:ascii="Times New Roman" w:eastAsia="Times New Roman" w:hAnsi="Times New Roman"/>
          <w:sz w:val="16"/>
        </w:rPr>
        <w:t xml:space="preserve">95 </w:t>
      </w:r>
      <w:proofErr w:type="gramStart"/>
      <w:r>
        <w:rPr>
          <w:rFonts w:ascii="Times New Roman" w:eastAsia="Times New Roman" w:hAnsi="Times New Roman"/>
          <w:sz w:val="16"/>
        </w:rPr>
        <w:t>Muhammed  b</w:t>
      </w:r>
      <w:proofErr w:type="gramEnd"/>
      <w:r>
        <w:rPr>
          <w:rFonts w:ascii="Times New Roman" w:eastAsia="Times New Roman" w:hAnsi="Times New Roman"/>
          <w:sz w:val="16"/>
        </w:rPr>
        <w:t xml:space="preserve">.  Sa’d  b.  Menî’  ez-Zührî,  </w:t>
      </w:r>
      <w:r>
        <w:rPr>
          <w:rFonts w:ascii="Times New Roman" w:eastAsia="Times New Roman" w:hAnsi="Times New Roman"/>
          <w:i/>
          <w:sz w:val="16"/>
        </w:rPr>
        <w:t>Kitâbu’t-Tabakâti’l-Kebîr</w:t>
      </w:r>
      <w:r>
        <w:rPr>
          <w:rFonts w:ascii="Times New Roman" w:eastAsia="Times New Roman" w:hAnsi="Times New Roman"/>
          <w:sz w:val="16"/>
        </w:rPr>
        <w:t>,  Mektebetü’l-Hâncî,  Kâhire</w:t>
      </w:r>
    </w:p>
    <w:p w:rsidR="0065234B" w:rsidRDefault="0065234B" w:rsidP="0065234B">
      <w:pPr>
        <w:spacing w:line="27" w:lineRule="exact"/>
        <w:rPr>
          <w:rFonts w:ascii="Times New Roman" w:eastAsia="Times New Roman" w:hAnsi="Times New Roman"/>
        </w:rPr>
      </w:pPr>
    </w:p>
    <w:p w:rsidR="0065234B" w:rsidRDefault="0065234B" w:rsidP="0065234B">
      <w:pPr>
        <w:spacing w:line="0" w:lineRule="atLeast"/>
        <w:ind w:left="226"/>
        <w:rPr>
          <w:rFonts w:ascii="Times New Roman" w:eastAsia="Times New Roman" w:hAnsi="Times New Roman"/>
          <w:sz w:val="16"/>
        </w:rPr>
      </w:pPr>
      <w:r>
        <w:rPr>
          <w:rFonts w:ascii="Times New Roman" w:eastAsia="Times New Roman" w:hAnsi="Times New Roman"/>
          <w:sz w:val="16"/>
        </w:rPr>
        <w:t>2001, VIII/370.</w:t>
      </w:r>
    </w:p>
    <w:p w:rsidR="0065234B" w:rsidRDefault="0065234B" w:rsidP="0065234B">
      <w:pPr>
        <w:spacing w:line="8" w:lineRule="exact"/>
        <w:rPr>
          <w:rFonts w:ascii="Times New Roman" w:eastAsia="Times New Roman" w:hAnsi="Times New Roman"/>
        </w:rPr>
      </w:pPr>
    </w:p>
    <w:p w:rsidR="0065234B" w:rsidRDefault="0065234B" w:rsidP="0065234B">
      <w:pPr>
        <w:spacing w:line="250" w:lineRule="auto"/>
        <w:ind w:left="226" w:hanging="226"/>
        <w:jc w:val="both"/>
        <w:rPr>
          <w:rFonts w:ascii="Times New Roman" w:eastAsia="Times New Roman" w:hAnsi="Times New Roman"/>
          <w:sz w:val="16"/>
        </w:rPr>
      </w:pPr>
      <w:r>
        <w:rPr>
          <w:rFonts w:ascii="Times New Roman" w:eastAsia="Times New Roman" w:hAnsi="Times New Roman"/>
          <w:sz w:val="16"/>
        </w:rPr>
        <w:t xml:space="preserve">96 el-Huseynî Abdülmecîd Hâşim, </w:t>
      </w:r>
      <w:r>
        <w:rPr>
          <w:rFonts w:ascii="Times New Roman" w:eastAsia="Times New Roman" w:hAnsi="Times New Roman"/>
          <w:i/>
          <w:sz w:val="16"/>
        </w:rPr>
        <w:t>el-İmâmu’l-Buhârî Fakîhen ve Muhaddisen</w:t>
      </w:r>
      <w:r>
        <w:rPr>
          <w:rFonts w:ascii="Times New Roman" w:eastAsia="Times New Roman" w:hAnsi="Times New Roman"/>
          <w:sz w:val="16"/>
        </w:rPr>
        <w:t>, Mısr el-Arabiyye, Kâhire (t.y.), s. 167.</w:t>
      </w:r>
    </w:p>
    <w:p w:rsidR="0065234B" w:rsidRDefault="0065234B" w:rsidP="0065234B">
      <w:pPr>
        <w:spacing w:line="1" w:lineRule="exact"/>
        <w:rPr>
          <w:rFonts w:ascii="Times New Roman" w:eastAsia="Times New Roman" w:hAnsi="Times New Roman"/>
        </w:rPr>
      </w:pPr>
    </w:p>
    <w:p w:rsidR="0065234B" w:rsidRDefault="0065234B" w:rsidP="0065234B">
      <w:pPr>
        <w:spacing w:line="250" w:lineRule="auto"/>
        <w:ind w:left="226" w:hanging="226"/>
        <w:jc w:val="both"/>
        <w:rPr>
          <w:rFonts w:ascii="Times New Roman" w:eastAsia="Times New Roman" w:hAnsi="Times New Roman"/>
          <w:sz w:val="16"/>
        </w:rPr>
      </w:pPr>
      <w:r>
        <w:rPr>
          <w:rFonts w:ascii="Times New Roman" w:eastAsia="Times New Roman" w:hAnsi="Times New Roman"/>
          <w:sz w:val="16"/>
        </w:rPr>
        <w:t xml:space="preserve">97 Ebû Abdillâh Muhammed b. İsmâîl b. İbrâhîm b. el-Muğîre b. Berdezbe el-Buharî, </w:t>
      </w:r>
      <w:r>
        <w:rPr>
          <w:rFonts w:ascii="Times New Roman" w:eastAsia="Times New Roman" w:hAnsi="Times New Roman"/>
          <w:i/>
          <w:sz w:val="16"/>
        </w:rPr>
        <w:t xml:space="preserve">el-Câmiu’s-Sahîh, </w:t>
      </w:r>
      <w:r>
        <w:rPr>
          <w:rFonts w:ascii="Times New Roman" w:eastAsia="Times New Roman" w:hAnsi="Times New Roman"/>
          <w:sz w:val="16"/>
        </w:rPr>
        <w:t>Dâru’l-Kalem, Beyrût 1987,</w:t>
      </w:r>
      <w:r>
        <w:rPr>
          <w:rFonts w:ascii="Times New Roman" w:eastAsia="Times New Roman" w:hAnsi="Times New Roman"/>
          <w:i/>
          <w:sz w:val="16"/>
        </w:rPr>
        <w:t xml:space="preserve"> </w:t>
      </w:r>
      <w:r>
        <w:rPr>
          <w:rFonts w:ascii="Times New Roman" w:eastAsia="Times New Roman" w:hAnsi="Times New Roman"/>
          <w:sz w:val="16"/>
        </w:rPr>
        <w:t>İ’tisâm, 1172, VIII/756.</w:t>
      </w:r>
    </w:p>
    <w:p w:rsidR="0065234B" w:rsidRDefault="0065234B" w:rsidP="0065234B">
      <w:pPr>
        <w:spacing w:line="1" w:lineRule="exact"/>
        <w:rPr>
          <w:rFonts w:ascii="Times New Roman" w:eastAsia="Times New Roman" w:hAnsi="Times New Roman"/>
        </w:rPr>
      </w:pPr>
    </w:p>
    <w:p w:rsidR="0065234B" w:rsidRDefault="0065234B" w:rsidP="0065234B">
      <w:pPr>
        <w:numPr>
          <w:ilvl w:val="0"/>
          <w:numId w:val="4"/>
        </w:numPr>
        <w:tabs>
          <w:tab w:val="left" w:pos="226"/>
        </w:tabs>
        <w:spacing w:line="0" w:lineRule="atLeast"/>
        <w:ind w:left="226" w:hanging="226"/>
        <w:rPr>
          <w:rFonts w:ascii="Times New Roman" w:eastAsia="Times New Roman" w:hAnsi="Times New Roman"/>
          <w:sz w:val="16"/>
        </w:rPr>
      </w:pPr>
      <w:r>
        <w:rPr>
          <w:rFonts w:ascii="Times New Roman" w:eastAsia="Times New Roman" w:hAnsi="Times New Roman"/>
          <w:sz w:val="16"/>
        </w:rPr>
        <w:t>Bkz: Buharî, Savm, 127, III/82.</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4"/>
        </w:numPr>
        <w:tabs>
          <w:tab w:val="left" w:pos="226"/>
        </w:tabs>
        <w:spacing w:line="250" w:lineRule="auto"/>
        <w:ind w:left="226" w:hanging="226"/>
        <w:rPr>
          <w:rFonts w:ascii="Times New Roman" w:eastAsia="Times New Roman" w:hAnsi="Times New Roman"/>
          <w:sz w:val="16"/>
        </w:rPr>
      </w:pPr>
      <w:r>
        <w:rPr>
          <w:rFonts w:ascii="Times New Roman" w:eastAsia="Times New Roman" w:hAnsi="Times New Roman"/>
          <w:sz w:val="16"/>
        </w:rPr>
        <w:t xml:space="preserve">İbn Hacer, </w:t>
      </w:r>
      <w:r>
        <w:rPr>
          <w:rFonts w:ascii="Times New Roman" w:eastAsia="Times New Roman" w:hAnsi="Times New Roman"/>
          <w:i/>
          <w:sz w:val="16"/>
        </w:rPr>
        <w:t>Lisânü’l-Mîzân</w:t>
      </w:r>
      <w:r>
        <w:rPr>
          <w:rFonts w:ascii="Times New Roman" w:eastAsia="Times New Roman" w:hAnsi="Times New Roman"/>
          <w:sz w:val="16"/>
        </w:rPr>
        <w:t xml:space="preserve">, III/405; İbn Kesîr, XIV/137; Zehebî, </w:t>
      </w:r>
      <w:r>
        <w:rPr>
          <w:rFonts w:ascii="Times New Roman" w:eastAsia="Times New Roman" w:hAnsi="Times New Roman"/>
          <w:i/>
          <w:sz w:val="16"/>
        </w:rPr>
        <w:t>Târihu’l-İslâm</w:t>
      </w:r>
      <w:r>
        <w:rPr>
          <w:rFonts w:ascii="Times New Roman" w:eastAsia="Times New Roman" w:hAnsi="Times New Roman"/>
          <w:sz w:val="16"/>
        </w:rPr>
        <w:t xml:space="preserve">, XX/91; Zehebî, </w:t>
      </w:r>
      <w:r>
        <w:rPr>
          <w:rFonts w:ascii="Times New Roman" w:eastAsia="Times New Roman" w:hAnsi="Times New Roman"/>
          <w:i/>
          <w:sz w:val="16"/>
        </w:rPr>
        <w:t>Nüzhetü’l-Fudalâ</w:t>
      </w:r>
      <w:r>
        <w:rPr>
          <w:rFonts w:ascii="Times New Roman" w:eastAsia="Times New Roman" w:hAnsi="Times New Roman"/>
          <w:sz w:val="16"/>
        </w:rPr>
        <w:t>, II/949; Safedî, III/48;</w:t>
      </w:r>
      <w:r>
        <w:rPr>
          <w:rFonts w:ascii="Times New Roman" w:eastAsia="Times New Roman" w:hAnsi="Times New Roman"/>
          <w:i/>
          <w:sz w:val="16"/>
        </w:rPr>
        <w:t xml:space="preserve"> </w:t>
      </w:r>
      <w:r>
        <w:rPr>
          <w:rFonts w:ascii="Times New Roman" w:eastAsia="Times New Roman" w:hAnsi="Times New Roman"/>
          <w:sz w:val="16"/>
        </w:rPr>
        <w:t>İbn Abdi’l-Hâdî, II/267; Hacvî, III/23.</w:t>
      </w:r>
    </w:p>
    <w:p w:rsidR="0065234B" w:rsidRDefault="0065234B" w:rsidP="0065234B">
      <w:pPr>
        <w:numPr>
          <w:ilvl w:val="0"/>
          <w:numId w:val="4"/>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 xml:space="preserve">Ebû İshâk eş-Şirâzî, </w:t>
      </w:r>
      <w:r>
        <w:rPr>
          <w:rFonts w:ascii="Times New Roman" w:eastAsia="Times New Roman" w:hAnsi="Times New Roman"/>
          <w:i/>
          <w:sz w:val="16"/>
        </w:rPr>
        <w:t>Tabakâtü’l-Fukahâ</w:t>
      </w:r>
      <w:r>
        <w:rPr>
          <w:rFonts w:ascii="Times New Roman" w:eastAsia="Times New Roman" w:hAnsi="Times New Roman"/>
          <w:sz w:val="16"/>
        </w:rPr>
        <w:t>, Dâru’r-Râidi’l-Arabî, Beyrût 1970, s. 175.</w:t>
      </w:r>
    </w:p>
    <w:p w:rsidR="0065234B" w:rsidRDefault="0065234B" w:rsidP="0065234B">
      <w:pPr>
        <w:tabs>
          <w:tab w:val="left" w:pos="286"/>
        </w:tabs>
        <w:spacing w:line="0" w:lineRule="atLeast"/>
        <w:ind w:left="286" w:hanging="286"/>
        <w:rPr>
          <w:rFonts w:ascii="Times New Roman" w:eastAsia="Times New Roman" w:hAnsi="Times New Roman"/>
          <w:sz w:val="16"/>
        </w:rPr>
        <w:sectPr w:rsidR="0065234B">
          <w:pgSz w:w="9240" w:h="13663"/>
          <w:pgMar w:top="1248" w:right="1301" w:bottom="699" w:left="1134" w:header="0" w:footer="0" w:gutter="0"/>
          <w:cols w:space="0" w:equalWidth="0">
            <w:col w:w="6806"/>
          </w:cols>
          <w:docGrid w:linePitch="360"/>
        </w:sectPr>
      </w:pPr>
    </w:p>
    <w:p w:rsidR="0065234B" w:rsidRDefault="0065234B" w:rsidP="0065234B">
      <w:pPr>
        <w:tabs>
          <w:tab w:val="left" w:pos="5840"/>
        </w:tabs>
        <w:spacing w:line="0" w:lineRule="atLeast"/>
        <w:rPr>
          <w:rFonts w:ascii="Times New Roman" w:eastAsia="Times New Roman" w:hAnsi="Times New Roman"/>
          <w:i/>
          <w:sz w:val="13"/>
        </w:rPr>
      </w:pPr>
      <w:bookmarkStart w:id="0" w:name="page22"/>
      <w:bookmarkEnd w:id="0"/>
      <w:r>
        <w:rPr>
          <w:rFonts w:ascii="Times New Roman" w:eastAsia="Times New Roman" w:hAnsi="Times New Roman"/>
          <w:sz w:val="17"/>
        </w:rPr>
        <w:lastRenderedPageBreak/>
        <w:t>158</w:t>
      </w:r>
      <w:r>
        <w:rPr>
          <w:rFonts w:ascii="Times New Roman" w:eastAsia="Times New Roman" w:hAnsi="Times New Roman"/>
        </w:rPr>
        <w:tab/>
      </w:r>
      <w:r>
        <w:rPr>
          <w:rFonts w:ascii="Times New Roman" w:eastAsia="Times New Roman" w:hAnsi="Times New Roman"/>
          <w:i/>
          <w:sz w:val="13"/>
        </w:rPr>
        <w:t>OĞUZHAN TAN</w:t>
      </w:r>
    </w:p>
    <w:p w:rsidR="0065234B" w:rsidRDefault="0065234B" w:rsidP="0065234B">
      <w:pPr>
        <w:spacing w:line="200" w:lineRule="exact"/>
        <w:rPr>
          <w:rFonts w:ascii="Times New Roman" w:eastAsia="Times New Roman" w:hAnsi="Times New Roman"/>
        </w:rPr>
      </w:pPr>
    </w:p>
    <w:p w:rsidR="0065234B" w:rsidRDefault="0065234B" w:rsidP="0065234B">
      <w:pPr>
        <w:spacing w:line="200" w:lineRule="exact"/>
        <w:rPr>
          <w:rFonts w:ascii="Times New Roman" w:eastAsia="Times New Roman" w:hAnsi="Times New Roman"/>
        </w:rPr>
      </w:pPr>
    </w:p>
    <w:p w:rsidR="0065234B" w:rsidRDefault="0065234B" w:rsidP="0065234B">
      <w:pPr>
        <w:spacing w:line="254" w:lineRule="exact"/>
        <w:rPr>
          <w:rFonts w:ascii="Times New Roman" w:eastAsia="Times New Roman" w:hAnsi="Times New Roman"/>
        </w:rPr>
      </w:pPr>
    </w:p>
    <w:p w:rsidR="0065234B" w:rsidRDefault="0065234B" w:rsidP="0065234B">
      <w:pPr>
        <w:spacing w:line="298" w:lineRule="auto"/>
        <w:jc w:val="both"/>
        <w:rPr>
          <w:rFonts w:ascii="Times New Roman" w:eastAsia="Times New Roman" w:hAnsi="Times New Roman"/>
          <w:sz w:val="12"/>
        </w:rPr>
      </w:pPr>
      <w:proofErr w:type="gramStart"/>
      <w:r>
        <w:rPr>
          <w:rFonts w:ascii="Times New Roman" w:eastAsia="Times New Roman" w:hAnsi="Times New Roman"/>
          <w:sz w:val="21"/>
        </w:rPr>
        <w:t>ispatlamış</w:t>
      </w:r>
      <w:proofErr w:type="gramEnd"/>
      <w:r>
        <w:rPr>
          <w:rFonts w:ascii="Times New Roman" w:eastAsia="Times New Roman" w:hAnsi="Times New Roman"/>
          <w:sz w:val="21"/>
        </w:rPr>
        <w:t xml:space="preserve"> ve Zâhirî mezhebini yaşatmaya devam etmiştir.</w:t>
      </w:r>
      <w:r>
        <w:rPr>
          <w:rFonts w:ascii="Times New Roman" w:eastAsia="Times New Roman" w:hAnsi="Times New Roman"/>
          <w:sz w:val="12"/>
        </w:rPr>
        <w:t>101</w:t>
      </w:r>
      <w:r>
        <w:rPr>
          <w:rFonts w:ascii="Times New Roman" w:eastAsia="Times New Roman" w:hAnsi="Times New Roman"/>
          <w:sz w:val="21"/>
        </w:rPr>
        <w:t xml:space="preserve"> Ebû Bekr, aynı zamanda çok önemli bir edebiyatçı olup bu alanda yazdığı </w:t>
      </w:r>
      <w:r>
        <w:rPr>
          <w:rFonts w:ascii="Times New Roman" w:eastAsia="Times New Roman" w:hAnsi="Times New Roman"/>
          <w:i/>
          <w:sz w:val="21"/>
        </w:rPr>
        <w:t>ez-Zehra</w:t>
      </w:r>
      <w:r>
        <w:rPr>
          <w:rFonts w:ascii="Times New Roman" w:eastAsia="Times New Roman" w:hAnsi="Times New Roman"/>
          <w:sz w:val="21"/>
        </w:rPr>
        <w:t xml:space="preserve"> adlı eseri ile tanınmaktadır.</w:t>
      </w:r>
      <w:r>
        <w:rPr>
          <w:rFonts w:ascii="Times New Roman" w:eastAsia="Times New Roman" w:hAnsi="Times New Roman"/>
          <w:sz w:val="12"/>
        </w:rPr>
        <w:t>102</w:t>
      </w:r>
      <w:r>
        <w:rPr>
          <w:rFonts w:ascii="Times New Roman" w:eastAsia="Times New Roman" w:hAnsi="Times New Roman"/>
          <w:sz w:val="21"/>
        </w:rPr>
        <w:t xml:space="preserve"> Bu eserin içerik ve konu açısından İbn Hazm’ın </w:t>
      </w:r>
      <w:r>
        <w:rPr>
          <w:rFonts w:ascii="Times New Roman" w:eastAsia="Times New Roman" w:hAnsi="Times New Roman"/>
          <w:i/>
          <w:sz w:val="21"/>
        </w:rPr>
        <w:t>Tavku’l-Hamâme</w:t>
      </w:r>
      <w:r>
        <w:rPr>
          <w:rFonts w:ascii="Times New Roman" w:eastAsia="Times New Roman" w:hAnsi="Times New Roman"/>
          <w:sz w:val="21"/>
        </w:rPr>
        <w:t xml:space="preserve">’sine benzemesi ise dikkat çekicidir. </w:t>
      </w:r>
      <w:proofErr w:type="gramStart"/>
      <w:r>
        <w:rPr>
          <w:rFonts w:ascii="Times New Roman" w:eastAsia="Times New Roman" w:hAnsi="Times New Roman"/>
          <w:sz w:val="21"/>
        </w:rPr>
        <w:t>Ebû Bekr’in feraiz ve diğer</w:t>
      </w:r>
      <w:r>
        <w:rPr>
          <w:rFonts w:ascii="Times New Roman" w:eastAsia="Times New Roman" w:hAnsi="Times New Roman"/>
          <w:i/>
          <w:sz w:val="21"/>
        </w:rPr>
        <w:t xml:space="preserve"> </w:t>
      </w:r>
      <w:r>
        <w:rPr>
          <w:rFonts w:ascii="Times New Roman" w:eastAsia="Times New Roman" w:hAnsi="Times New Roman"/>
          <w:sz w:val="21"/>
        </w:rPr>
        <w:t>fıkhî konularda da çeşitli eserleri olduğu bildirilmektedir.</w:t>
      </w:r>
      <w:r>
        <w:rPr>
          <w:rFonts w:ascii="Times New Roman" w:eastAsia="Times New Roman" w:hAnsi="Times New Roman"/>
          <w:sz w:val="12"/>
        </w:rPr>
        <w:t>103</w:t>
      </w:r>
      <w:r>
        <w:rPr>
          <w:rFonts w:ascii="Times New Roman" w:eastAsia="Times New Roman" w:hAnsi="Times New Roman"/>
          <w:sz w:val="21"/>
        </w:rPr>
        <w:t xml:space="preserve"> Yine </w:t>
      </w:r>
      <w:r>
        <w:rPr>
          <w:rFonts w:ascii="Times New Roman" w:eastAsia="Times New Roman" w:hAnsi="Times New Roman"/>
          <w:i/>
          <w:sz w:val="21"/>
        </w:rPr>
        <w:t>el-Vusûl ilâ</w:t>
      </w:r>
      <w:r>
        <w:rPr>
          <w:rFonts w:ascii="Times New Roman" w:eastAsia="Times New Roman" w:hAnsi="Times New Roman"/>
          <w:sz w:val="21"/>
        </w:rPr>
        <w:t xml:space="preserve"> </w:t>
      </w:r>
      <w:r>
        <w:rPr>
          <w:rFonts w:ascii="Times New Roman" w:eastAsia="Times New Roman" w:hAnsi="Times New Roman"/>
          <w:i/>
          <w:sz w:val="21"/>
        </w:rPr>
        <w:t xml:space="preserve">Ma’rifeti’l-Usûl </w:t>
      </w:r>
      <w:r>
        <w:rPr>
          <w:rFonts w:ascii="Times New Roman" w:eastAsia="Times New Roman" w:hAnsi="Times New Roman"/>
          <w:sz w:val="21"/>
        </w:rPr>
        <w:t>adlı</w:t>
      </w:r>
      <w:r>
        <w:rPr>
          <w:rFonts w:ascii="Times New Roman" w:eastAsia="Times New Roman" w:hAnsi="Times New Roman"/>
          <w:i/>
          <w:sz w:val="21"/>
        </w:rPr>
        <w:t xml:space="preserve"> </w:t>
      </w:r>
      <w:r>
        <w:rPr>
          <w:rFonts w:ascii="Times New Roman" w:eastAsia="Times New Roman" w:hAnsi="Times New Roman"/>
          <w:sz w:val="21"/>
        </w:rPr>
        <w:t>bir eseri olduğu belirtilmektedir.</w:t>
      </w:r>
      <w:r>
        <w:rPr>
          <w:rFonts w:ascii="Times New Roman" w:eastAsia="Times New Roman" w:hAnsi="Times New Roman"/>
          <w:sz w:val="12"/>
        </w:rPr>
        <w:t>104</w:t>
      </w:r>
      <w:r>
        <w:rPr>
          <w:rFonts w:ascii="Times New Roman" w:eastAsia="Times New Roman" w:hAnsi="Times New Roman"/>
          <w:i/>
          <w:sz w:val="21"/>
        </w:rPr>
        <w:t xml:space="preserve"> </w:t>
      </w:r>
      <w:r>
        <w:rPr>
          <w:rFonts w:ascii="Times New Roman" w:eastAsia="Times New Roman" w:hAnsi="Times New Roman"/>
          <w:sz w:val="21"/>
        </w:rPr>
        <w:t>Dâvûd b. Alî’ye de</w:t>
      </w:r>
      <w:r>
        <w:rPr>
          <w:rFonts w:ascii="Times New Roman" w:eastAsia="Times New Roman" w:hAnsi="Times New Roman"/>
          <w:i/>
          <w:sz w:val="21"/>
        </w:rPr>
        <w:t xml:space="preserve"> </w:t>
      </w:r>
      <w:r>
        <w:rPr>
          <w:rFonts w:ascii="Times New Roman" w:eastAsia="Times New Roman" w:hAnsi="Times New Roman"/>
          <w:sz w:val="21"/>
        </w:rPr>
        <w:t>aynı isimde bir eser nispet edildiğinden daha önce bahsetmiştik.</w:t>
      </w:r>
      <w:r>
        <w:rPr>
          <w:rFonts w:ascii="Times New Roman" w:eastAsia="Times New Roman" w:hAnsi="Times New Roman"/>
          <w:sz w:val="12"/>
        </w:rPr>
        <w:t>105</w:t>
      </w:r>
      <w:r>
        <w:rPr>
          <w:rFonts w:ascii="Times New Roman" w:eastAsia="Times New Roman" w:hAnsi="Times New Roman"/>
          <w:sz w:val="21"/>
        </w:rPr>
        <w:t xml:space="preserve"> Ebû Bekr’in özellikle hadisler ve sahâbe fetvâları konusunda etraflı bilgisi olduğu ve taklîtte bulunmadığı da onunla ilgili olarak özellikle vurgulanan hususlardandır.</w:t>
      </w:r>
      <w:r>
        <w:rPr>
          <w:rFonts w:ascii="Times New Roman" w:eastAsia="Times New Roman" w:hAnsi="Times New Roman"/>
          <w:sz w:val="12"/>
        </w:rPr>
        <w:t>106</w:t>
      </w:r>
      <w:proofErr w:type="gramEnd"/>
    </w:p>
    <w:p w:rsidR="0065234B" w:rsidRDefault="0065234B" w:rsidP="0065234B">
      <w:pPr>
        <w:spacing w:line="1" w:lineRule="exact"/>
        <w:rPr>
          <w:rFonts w:ascii="Times New Roman" w:eastAsia="Times New Roman" w:hAnsi="Times New Roman"/>
        </w:rPr>
      </w:pPr>
    </w:p>
    <w:p w:rsidR="0065234B" w:rsidRDefault="0065234B" w:rsidP="0065234B">
      <w:pPr>
        <w:spacing w:line="284" w:lineRule="auto"/>
        <w:ind w:firstLine="284"/>
        <w:jc w:val="both"/>
        <w:rPr>
          <w:rFonts w:ascii="Times New Roman" w:eastAsia="Times New Roman" w:hAnsi="Times New Roman"/>
          <w:sz w:val="12"/>
        </w:rPr>
      </w:pPr>
      <w:r>
        <w:rPr>
          <w:rFonts w:ascii="Times New Roman" w:eastAsia="Times New Roman" w:hAnsi="Times New Roman"/>
          <w:sz w:val="22"/>
        </w:rPr>
        <w:t>Ebû Bekr, kendi devrinde Şâfiîlerin en önde gelen imamlarından sayılan İbn Süreyc ile çeşitli münazaralarda bulunmuştur.</w:t>
      </w:r>
      <w:r>
        <w:rPr>
          <w:rFonts w:ascii="Times New Roman" w:eastAsia="Times New Roman" w:hAnsi="Times New Roman"/>
          <w:sz w:val="12"/>
        </w:rPr>
        <w:t>107</w:t>
      </w:r>
      <w:r>
        <w:rPr>
          <w:rFonts w:ascii="Times New Roman" w:eastAsia="Times New Roman" w:hAnsi="Times New Roman"/>
          <w:sz w:val="22"/>
        </w:rPr>
        <w:t xml:space="preserve"> Bu tartışmaların bütünü hakkında bilgi sahibi olmamız güç gözükmektedir. Fakat usûl kitaplarında za-man zaman bu tartışmalara kısmen değinilmektedir.</w:t>
      </w:r>
      <w:r>
        <w:rPr>
          <w:rFonts w:ascii="Times New Roman" w:eastAsia="Times New Roman" w:hAnsi="Times New Roman"/>
          <w:sz w:val="12"/>
        </w:rPr>
        <w:t>108</w:t>
      </w:r>
    </w:p>
    <w:p w:rsidR="0065234B" w:rsidRDefault="0065234B" w:rsidP="0065234B">
      <w:pPr>
        <w:spacing w:line="3" w:lineRule="exact"/>
        <w:rPr>
          <w:rFonts w:ascii="Times New Roman" w:eastAsia="Times New Roman" w:hAnsi="Times New Roman"/>
        </w:rPr>
      </w:pPr>
    </w:p>
    <w:p w:rsidR="0065234B" w:rsidRDefault="0065234B" w:rsidP="0065234B">
      <w:pPr>
        <w:spacing w:line="287" w:lineRule="auto"/>
        <w:ind w:firstLine="283"/>
        <w:jc w:val="both"/>
        <w:rPr>
          <w:rFonts w:ascii="Times New Roman" w:eastAsia="Times New Roman" w:hAnsi="Times New Roman"/>
          <w:sz w:val="22"/>
        </w:rPr>
      </w:pPr>
      <w:r>
        <w:rPr>
          <w:rFonts w:ascii="Times New Roman" w:eastAsia="Times New Roman" w:hAnsi="Times New Roman"/>
          <w:sz w:val="22"/>
        </w:rPr>
        <w:t>İbn Cerir et-Taberî’nin bir süre Dâvûd’un derslerini takip ettiği ancak son-radan onun derslerini bırakarak ayrı bir ilim meclisi kurduğu söylenmektedir.</w:t>
      </w:r>
      <w:r>
        <w:rPr>
          <w:rFonts w:ascii="Times New Roman" w:eastAsia="Times New Roman" w:hAnsi="Times New Roman"/>
          <w:sz w:val="12"/>
        </w:rPr>
        <w:t>109</w:t>
      </w:r>
      <w:r>
        <w:rPr>
          <w:rFonts w:ascii="Times New Roman" w:eastAsia="Times New Roman" w:hAnsi="Times New Roman"/>
          <w:sz w:val="22"/>
        </w:rPr>
        <w:t xml:space="preserve"> Dâvûd’un oğlu Ebû Bekr’in et-Taberi’ye hitaben </w:t>
      </w:r>
      <w:r>
        <w:rPr>
          <w:rFonts w:ascii="Times New Roman" w:eastAsia="Times New Roman" w:hAnsi="Times New Roman"/>
          <w:i/>
          <w:sz w:val="22"/>
        </w:rPr>
        <w:t xml:space="preserve">el-İntisâr </w:t>
      </w:r>
      <w:proofErr w:type="gramStart"/>
      <w:r>
        <w:rPr>
          <w:rFonts w:ascii="Times New Roman" w:eastAsia="Times New Roman" w:hAnsi="Times New Roman"/>
          <w:i/>
          <w:sz w:val="22"/>
        </w:rPr>
        <w:t>alâ</w:t>
      </w:r>
      <w:proofErr w:type="gramEnd"/>
      <w:r>
        <w:rPr>
          <w:rFonts w:ascii="Times New Roman" w:eastAsia="Times New Roman" w:hAnsi="Times New Roman"/>
          <w:i/>
          <w:sz w:val="22"/>
        </w:rPr>
        <w:t xml:space="preserve"> Muhammed</w:t>
      </w:r>
      <w:r>
        <w:rPr>
          <w:rFonts w:ascii="Times New Roman" w:eastAsia="Times New Roman" w:hAnsi="Times New Roman"/>
          <w:sz w:val="22"/>
        </w:rPr>
        <w:t xml:space="preserve"> </w:t>
      </w:r>
      <w:r>
        <w:rPr>
          <w:rFonts w:ascii="Times New Roman" w:eastAsia="Times New Roman" w:hAnsi="Times New Roman"/>
          <w:i/>
          <w:sz w:val="22"/>
        </w:rPr>
        <w:t xml:space="preserve">b. Cerîr </w:t>
      </w:r>
      <w:r>
        <w:rPr>
          <w:rFonts w:ascii="Times New Roman" w:eastAsia="Times New Roman" w:hAnsi="Times New Roman"/>
          <w:sz w:val="22"/>
        </w:rPr>
        <w:t>adlı</w:t>
      </w:r>
      <w:r>
        <w:rPr>
          <w:rFonts w:ascii="Times New Roman" w:eastAsia="Times New Roman" w:hAnsi="Times New Roman"/>
          <w:i/>
          <w:sz w:val="22"/>
        </w:rPr>
        <w:t xml:space="preserve"> </w:t>
      </w:r>
      <w:r>
        <w:rPr>
          <w:rFonts w:ascii="Times New Roman" w:eastAsia="Times New Roman" w:hAnsi="Times New Roman"/>
          <w:sz w:val="22"/>
        </w:rPr>
        <w:t>bir eseri olduğu belirtilmektedir.</w:t>
      </w:r>
      <w:r>
        <w:rPr>
          <w:rFonts w:ascii="Times New Roman" w:eastAsia="Times New Roman" w:hAnsi="Times New Roman"/>
          <w:sz w:val="12"/>
        </w:rPr>
        <w:t>110</w:t>
      </w:r>
      <w:r>
        <w:rPr>
          <w:rFonts w:ascii="Times New Roman" w:eastAsia="Times New Roman" w:hAnsi="Times New Roman"/>
          <w:i/>
          <w:sz w:val="22"/>
        </w:rPr>
        <w:t xml:space="preserve"> </w:t>
      </w:r>
      <w:r>
        <w:rPr>
          <w:rFonts w:ascii="Times New Roman" w:eastAsia="Times New Roman" w:hAnsi="Times New Roman"/>
          <w:sz w:val="22"/>
        </w:rPr>
        <w:t>Bu da göstermektedir ki,</w:t>
      </w:r>
      <w:r>
        <w:rPr>
          <w:rFonts w:ascii="Times New Roman" w:eastAsia="Times New Roman" w:hAnsi="Times New Roman"/>
          <w:i/>
          <w:sz w:val="22"/>
        </w:rPr>
        <w:t xml:space="preserve"> </w:t>
      </w:r>
      <w:r>
        <w:rPr>
          <w:rFonts w:ascii="Times New Roman" w:eastAsia="Times New Roman" w:hAnsi="Times New Roman"/>
          <w:sz w:val="22"/>
        </w:rPr>
        <w:t>Taberî sadece Dâvûd’un meclisinden ayrılmakla yetinmemiş aynı zamanda Dâvûd’un savunduğu fikirleri de eleştirmiştir. Taberî’nin öğrencilerinden Alî b. Abdilazîz ed-Devâlibî’nin de Ebû Bekr’in öğrencisi olan İbn Muğallis’e bir reddiye yazdığı ifade edilmektedir.</w:t>
      </w:r>
      <w:r>
        <w:rPr>
          <w:rFonts w:ascii="Times New Roman" w:eastAsia="Times New Roman" w:hAnsi="Times New Roman"/>
          <w:sz w:val="12"/>
        </w:rPr>
        <w:t>111</w:t>
      </w:r>
      <w:r>
        <w:rPr>
          <w:rFonts w:ascii="Times New Roman" w:eastAsia="Times New Roman" w:hAnsi="Times New Roman"/>
          <w:sz w:val="22"/>
        </w:rPr>
        <w:t xml:space="preserve"> Henüz gün yüzüne çıkmamış olan bu kitapların içeriği hakkında herhangi bir bilgiye rastlamış değiliz. Fakat Taberî ve Dâvûd b. Alî arasında sonradan öğrencileri tarafından da devam ettirilen bir tartışma olduğu görülmektedir.</w:t>
      </w:r>
    </w:p>
    <w:p w:rsidR="0065234B" w:rsidRDefault="00CA36F6" w:rsidP="0065234B">
      <w:pPr>
        <w:spacing w:line="20" w:lineRule="exact"/>
        <w:rPr>
          <w:rFonts w:ascii="Times New Roman" w:eastAsia="Times New Roman" w:hAnsi="Times New Roman"/>
        </w:rPr>
      </w:pPr>
      <w:r w:rsidRPr="00CA36F6">
        <w:rPr>
          <w:rFonts w:ascii="Times New Roman" w:eastAsia="Times New Roman" w:hAnsi="Times New Roman"/>
          <w:sz w:val="22"/>
        </w:rPr>
        <w:pict>
          <v:line id="_x0000_s1027" style="position:absolute;z-index:-251655168" from=".15pt,17.8pt" to="141.9pt,17.8pt" o:userdrawn="t" strokeweight=".25pt"/>
        </w:pict>
      </w:r>
    </w:p>
    <w:p w:rsidR="0065234B" w:rsidRDefault="0065234B" w:rsidP="0065234B">
      <w:pPr>
        <w:spacing w:line="366" w:lineRule="exact"/>
        <w:rPr>
          <w:rFonts w:ascii="Times New Roman" w:eastAsia="Times New Roman" w:hAnsi="Times New Roman"/>
        </w:rPr>
      </w:pPr>
    </w:p>
    <w:p w:rsidR="0065234B" w:rsidRDefault="0065234B" w:rsidP="0065234B">
      <w:pPr>
        <w:numPr>
          <w:ilvl w:val="0"/>
          <w:numId w:val="5"/>
        </w:numPr>
        <w:tabs>
          <w:tab w:val="left" w:pos="280"/>
        </w:tabs>
        <w:spacing w:line="262" w:lineRule="auto"/>
        <w:ind w:left="280" w:hanging="276"/>
        <w:rPr>
          <w:rFonts w:ascii="Times New Roman" w:eastAsia="Times New Roman" w:hAnsi="Times New Roman"/>
          <w:sz w:val="16"/>
        </w:rPr>
      </w:pPr>
      <w:r>
        <w:rPr>
          <w:rFonts w:ascii="Times New Roman" w:eastAsia="Times New Roman" w:hAnsi="Times New Roman"/>
          <w:sz w:val="16"/>
        </w:rPr>
        <w:t xml:space="preserve">Zehebî, </w:t>
      </w:r>
      <w:r>
        <w:rPr>
          <w:rFonts w:ascii="Times New Roman" w:eastAsia="Times New Roman" w:hAnsi="Times New Roman"/>
          <w:i/>
          <w:sz w:val="16"/>
        </w:rPr>
        <w:t>Nüzhetü’l-Fudalâ</w:t>
      </w:r>
      <w:r>
        <w:rPr>
          <w:rFonts w:ascii="Times New Roman" w:eastAsia="Times New Roman" w:hAnsi="Times New Roman"/>
          <w:sz w:val="16"/>
        </w:rPr>
        <w:t xml:space="preserve">, II/948; Hatîb el-Bağdâdî, III/163; Şirâzî, </w:t>
      </w:r>
      <w:r>
        <w:rPr>
          <w:rFonts w:ascii="Times New Roman" w:eastAsia="Times New Roman" w:hAnsi="Times New Roman"/>
          <w:i/>
          <w:sz w:val="16"/>
        </w:rPr>
        <w:t>Tabakâtü’l-Fukahâ</w:t>
      </w:r>
      <w:r>
        <w:rPr>
          <w:rFonts w:ascii="Times New Roman" w:eastAsia="Times New Roman" w:hAnsi="Times New Roman"/>
          <w:sz w:val="16"/>
        </w:rPr>
        <w:t>, s. 175; Safedî, XIII/297.</w:t>
      </w:r>
    </w:p>
    <w:p w:rsidR="0065234B" w:rsidRDefault="0065234B" w:rsidP="0065234B">
      <w:pPr>
        <w:numPr>
          <w:ilvl w:val="0"/>
          <w:numId w:val="5"/>
        </w:numPr>
        <w:tabs>
          <w:tab w:val="left" w:pos="280"/>
        </w:tabs>
        <w:spacing w:line="250" w:lineRule="auto"/>
        <w:ind w:left="280" w:hanging="276"/>
        <w:rPr>
          <w:rFonts w:ascii="Times New Roman" w:eastAsia="Times New Roman" w:hAnsi="Times New Roman"/>
          <w:sz w:val="16"/>
        </w:rPr>
      </w:pPr>
      <w:r>
        <w:rPr>
          <w:rFonts w:ascii="Times New Roman" w:eastAsia="Times New Roman" w:hAnsi="Times New Roman"/>
          <w:sz w:val="16"/>
        </w:rPr>
        <w:t xml:space="preserve">Mustafâ b. Abdillah Hâcî Halîfe, </w:t>
      </w:r>
      <w:r>
        <w:rPr>
          <w:rFonts w:ascii="Times New Roman" w:eastAsia="Times New Roman" w:hAnsi="Times New Roman"/>
          <w:i/>
          <w:sz w:val="16"/>
        </w:rPr>
        <w:t>Keşfu’z-Zunûn an Esâmi’l-Kütüb ve’l-Fünûn,</w:t>
      </w:r>
      <w:r>
        <w:rPr>
          <w:rFonts w:ascii="Times New Roman" w:eastAsia="Times New Roman" w:hAnsi="Times New Roman"/>
          <w:sz w:val="16"/>
        </w:rPr>
        <w:t xml:space="preserve"> Dâru İhyâi’t-Turâsi’l-Arabî, Beyrût (t.y.), II/962.</w:t>
      </w: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 xml:space="preserve">Şirâzî, </w:t>
      </w:r>
      <w:r>
        <w:rPr>
          <w:rFonts w:ascii="Times New Roman" w:eastAsia="Times New Roman" w:hAnsi="Times New Roman"/>
          <w:i/>
          <w:sz w:val="16"/>
        </w:rPr>
        <w:t>Tabakâtü’l-Fukahâ</w:t>
      </w:r>
      <w:r>
        <w:rPr>
          <w:rFonts w:ascii="Times New Roman" w:eastAsia="Times New Roman" w:hAnsi="Times New Roman"/>
          <w:sz w:val="16"/>
        </w:rPr>
        <w:t>, s. 175.</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Hacvî, III/37.</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Bkz: İbnü’n-Nedîm, s. 272; Ziriklî, VI/120.</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Safedî, XIII/297.</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250" w:lineRule="auto"/>
        <w:ind w:left="280" w:hanging="276"/>
        <w:rPr>
          <w:rFonts w:ascii="Times New Roman" w:eastAsia="Times New Roman" w:hAnsi="Times New Roman"/>
          <w:sz w:val="16"/>
        </w:rPr>
      </w:pPr>
      <w:r>
        <w:rPr>
          <w:rFonts w:ascii="Times New Roman" w:eastAsia="Times New Roman" w:hAnsi="Times New Roman"/>
          <w:sz w:val="16"/>
        </w:rPr>
        <w:t xml:space="preserve">İbnü’n-Nedîm, s. 266; Zehebî, </w:t>
      </w:r>
      <w:r>
        <w:rPr>
          <w:rFonts w:ascii="Times New Roman" w:eastAsia="Times New Roman" w:hAnsi="Times New Roman"/>
          <w:i/>
          <w:sz w:val="16"/>
        </w:rPr>
        <w:t>Nüzhetü’l-Fudalâ</w:t>
      </w:r>
      <w:r>
        <w:rPr>
          <w:rFonts w:ascii="Times New Roman" w:eastAsia="Times New Roman" w:hAnsi="Times New Roman"/>
          <w:sz w:val="16"/>
        </w:rPr>
        <w:t xml:space="preserve">, II/948; Hatîb el-Bağdâdî, III/163; Şirâzî, </w:t>
      </w:r>
      <w:r>
        <w:rPr>
          <w:rFonts w:ascii="Times New Roman" w:eastAsia="Times New Roman" w:hAnsi="Times New Roman"/>
          <w:i/>
          <w:sz w:val="16"/>
        </w:rPr>
        <w:t>Tabakâtü’l-Fukahâ</w:t>
      </w:r>
      <w:r>
        <w:rPr>
          <w:rFonts w:ascii="Times New Roman" w:eastAsia="Times New Roman" w:hAnsi="Times New Roman"/>
          <w:sz w:val="16"/>
        </w:rPr>
        <w:t>, s. 175; Safedî, XIII/297.</w:t>
      </w: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Ör. Bkz: Âmidî, II/574; Şâtıbî, III/141.</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Hatîb el-Bağdâdî, IX/346.</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Hâcî Halîfe, I/173; İsmâil Bâşâ, II/22.</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5"/>
        </w:numPr>
        <w:tabs>
          <w:tab w:val="left" w:pos="280"/>
        </w:tabs>
        <w:spacing w:line="0" w:lineRule="atLeast"/>
        <w:ind w:left="280" w:hanging="276"/>
        <w:rPr>
          <w:rFonts w:ascii="Times New Roman" w:eastAsia="Times New Roman" w:hAnsi="Times New Roman"/>
          <w:sz w:val="16"/>
        </w:rPr>
      </w:pPr>
      <w:r>
        <w:rPr>
          <w:rFonts w:ascii="Times New Roman" w:eastAsia="Times New Roman" w:hAnsi="Times New Roman"/>
          <w:sz w:val="16"/>
        </w:rPr>
        <w:t>Hacvî, III/37.</w:t>
      </w:r>
    </w:p>
    <w:p w:rsidR="0065234B" w:rsidRDefault="0065234B" w:rsidP="0065234B">
      <w:pPr>
        <w:tabs>
          <w:tab w:val="left" w:pos="280"/>
        </w:tabs>
        <w:spacing w:line="0" w:lineRule="atLeast"/>
        <w:ind w:left="280" w:hanging="276"/>
        <w:rPr>
          <w:rFonts w:ascii="Times New Roman" w:eastAsia="Times New Roman" w:hAnsi="Times New Roman"/>
          <w:sz w:val="16"/>
        </w:rPr>
        <w:sectPr w:rsidR="0065234B">
          <w:pgSz w:w="9240" w:h="13663"/>
          <w:pgMar w:top="1237" w:right="1141" w:bottom="699" w:left="1300" w:header="0" w:footer="0" w:gutter="0"/>
          <w:cols w:space="0" w:equalWidth="0">
            <w:col w:w="6800"/>
          </w:cols>
          <w:docGrid w:linePitch="360"/>
        </w:sectPr>
      </w:pPr>
    </w:p>
    <w:tbl>
      <w:tblPr>
        <w:tblW w:w="0" w:type="auto"/>
        <w:tblInd w:w="6" w:type="dxa"/>
        <w:tblLayout w:type="fixed"/>
        <w:tblCellMar>
          <w:left w:w="0" w:type="dxa"/>
          <w:right w:w="0" w:type="dxa"/>
        </w:tblCellMar>
        <w:tblLook w:val="0000"/>
      </w:tblPr>
      <w:tblGrid>
        <w:gridCol w:w="5320"/>
        <w:gridCol w:w="1480"/>
      </w:tblGrid>
      <w:tr w:rsidR="0065234B" w:rsidTr="000C5968">
        <w:trPr>
          <w:trHeight w:val="234"/>
        </w:trPr>
        <w:tc>
          <w:tcPr>
            <w:tcW w:w="5320" w:type="dxa"/>
            <w:shd w:val="clear" w:color="auto" w:fill="auto"/>
            <w:vAlign w:val="bottom"/>
          </w:tcPr>
          <w:p w:rsidR="0065234B" w:rsidRDefault="0065234B" w:rsidP="000C5968">
            <w:pPr>
              <w:spacing w:line="0" w:lineRule="atLeast"/>
              <w:rPr>
                <w:rFonts w:ascii="Times New Roman" w:eastAsia="Times New Roman" w:hAnsi="Times New Roman"/>
                <w:i/>
                <w:sz w:val="14"/>
              </w:rPr>
            </w:pPr>
            <w:bookmarkStart w:id="1" w:name="page23"/>
            <w:bookmarkEnd w:id="1"/>
            <w:r>
              <w:rPr>
                <w:rFonts w:ascii="Times New Roman" w:eastAsia="Times New Roman" w:hAnsi="Times New Roman"/>
                <w:i/>
                <w:sz w:val="14"/>
              </w:rPr>
              <w:lastRenderedPageBreak/>
              <w:t>Kökeni Oluşumu ve Algılanışı Bakımından İbn Hazm Öncesinde Zâhirîlik</w:t>
            </w:r>
          </w:p>
        </w:tc>
        <w:tc>
          <w:tcPr>
            <w:tcW w:w="1480" w:type="dxa"/>
            <w:shd w:val="clear" w:color="auto" w:fill="auto"/>
            <w:vAlign w:val="bottom"/>
          </w:tcPr>
          <w:p w:rsidR="0065234B" w:rsidRDefault="0065234B" w:rsidP="000C5968">
            <w:pPr>
              <w:spacing w:line="0" w:lineRule="atLeast"/>
              <w:jc w:val="right"/>
              <w:rPr>
                <w:rFonts w:ascii="Times New Roman" w:eastAsia="Times New Roman" w:hAnsi="Times New Roman"/>
                <w:sz w:val="18"/>
              </w:rPr>
            </w:pPr>
            <w:r>
              <w:rPr>
                <w:rFonts w:ascii="Times New Roman" w:eastAsia="Times New Roman" w:hAnsi="Times New Roman"/>
                <w:sz w:val="18"/>
              </w:rPr>
              <w:t>159</w:t>
            </w:r>
          </w:p>
        </w:tc>
      </w:tr>
    </w:tbl>
    <w:p w:rsidR="0065234B" w:rsidRDefault="0065234B" w:rsidP="0065234B">
      <w:pPr>
        <w:spacing w:line="200" w:lineRule="exact"/>
        <w:rPr>
          <w:rFonts w:ascii="Times New Roman" w:eastAsia="Times New Roman" w:hAnsi="Times New Roman"/>
        </w:rPr>
      </w:pPr>
    </w:p>
    <w:p w:rsidR="0065234B" w:rsidRDefault="0065234B" w:rsidP="0065234B">
      <w:pPr>
        <w:spacing w:line="200" w:lineRule="exact"/>
        <w:rPr>
          <w:rFonts w:ascii="Times New Roman" w:eastAsia="Times New Roman" w:hAnsi="Times New Roman"/>
        </w:rPr>
      </w:pPr>
    </w:p>
    <w:p w:rsidR="0065234B" w:rsidRDefault="0065234B" w:rsidP="0065234B">
      <w:pPr>
        <w:spacing w:line="204" w:lineRule="exact"/>
        <w:rPr>
          <w:rFonts w:ascii="Times New Roman" w:eastAsia="Times New Roman" w:hAnsi="Times New Roman"/>
        </w:rPr>
      </w:pPr>
    </w:p>
    <w:p w:rsidR="0065234B" w:rsidRDefault="0065234B" w:rsidP="0065234B">
      <w:pPr>
        <w:spacing w:line="298" w:lineRule="auto"/>
        <w:ind w:left="6" w:firstLine="284"/>
        <w:jc w:val="both"/>
        <w:rPr>
          <w:rFonts w:ascii="Times New Roman" w:eastAsia="Times New Roman" w:hAnsi="Times New Roman"/>
          <w:sz w:val="12"/>
        </w:rPr>
      </w:pPr>
      <w:r>
        <w:rPr>
          <w:rFonts w:ascii="Times New Roman" w:eastAsia="Times New Roman" w:hAnsi="Times New Roman"/>
          <w:sz w:val="21"/>
        </w:rPr>
        <w:t xml:space="preserve">Dâvûd b. Alî’nin önemli öğrencilerinden biri de Muhammed b. İshâk el-Kâsânî’dir. </w:t>
      </w:r>
      <w:proofErr w:type="gramStart"/>
      <w:r>
        <w:rPr>
          <w:rFonts w:ascii="Times New Roman" w:eastAsia="Times New Roman" w:hAnsi="Times New Roman"/>
          <w:sz w:val="21"/>
        </w:rPr>
        <w:t>Önce Zâhirî mezhebini benimsemiş olan Kâsânî, bu dönem-de Kıyâsın delil değerini reddetmeye yönelik bir eser yazmıştır.</w:t>
      </w:r>
      <w:r>
        <w:rPr>
          <w:rFonts w:ascii="Times New Roman" w:eastAsia="Times New Roman" w:hAnsi="Times New Roman"/>
          <w:sz w:val="12"/>
        </w:rPr>
        <w:t>112</w:t>
      </w:r>
      <w:r>
        <w:rPr>
          <w:rFonts w:ascii="Times New Roman" w:eastAsia="Times New Roman" w:hAnsi="Times New Roman"/>
          <w:sz w:val="21"/>
        </w:rPr>
        <w:t xml:space="preserve"> Ancak Kâsânî’nin daha sonra Dâvûd’a muhalefet ettiği hatta Kıyâsı savunan bir eser yazdığı da söylenmektedir.</w:t>
      </w:r>
      <w:r>
        <w:rPr>
          <w:rFonts w:ascii="Times New Roman" w:eastAsia="Times New Roman" w:hAnsi="Times New Roman"/>
          <w:sz w:val="12"/>
        </w:rPr>
        <w:t>113</w:t>
      </w:r>
      <w:r>
        <w:rPr>
          <w:rFonts w:ascii="Times New Roman" w:eastAsia="Times New Roman" w:hAnsi="Times New Roman"/>
          <w:sz w:val="21"/>
        </w:rPr>
        <w:t xml:space="preserve"> Bu nedenle olsa gerek, onun Zâhirî mezhebi-ne mensupken söylediği şeyler bile Dâvûd’a yönelik eleştirilerinden dolayı sonradan dikkate alınmamış ve Kâsânî Zâhirîler arasında itibar edilmeyen bir kimse olarak nitelendirilmiştir.</w:t>
      </w:r>
      <w:r>
        <w:rPr>
          <w:rFonts w:ascii="Times New Roman" w:eastAsia="Times New Roman" w:hAnsi="Times New Roman"/>
          <w:sz w:val="12"/>
        </w:rPr>
        <w:t>114</w:t>
      </w:r>
      <w:r>
        <w:rPr>
          <w:rFonts w:ascii="Times New Roman" w:eastAsia="Times New Roman" w:hAnsi="Times New Roman"/>
          <w:sz w:val="21"/>
        </w:rPr>
        <w:t xml:space="preserve"> İbnü’l-Muğallis de onun bu tenkitlerine ya-nıt vermek için </w:t>
      </w:r>
      <w:r>
        <w:rPr>
          <w:rFonts w:ascii="Times New Roman" w:eastAsia="Times New Roman" w:hAnsi="Times New Roman"/>
          <w:i/>
          <w:sz w:val="21"/>
        </w:rPr>
        <w:t>el-Kâmi’ lil-Mütehâmili’t-Tâmi’</w:t>
      </w:r>
      <w:r>
        <w:rPr>
          <w:rFonts w:ascii="Times New Roman" w:eastAsia="Times New Roman" w:hAnsi="Times New Roman"/>
          <w:sz w:val="21"/>
        </w:rPr>
        <w:t xml:space="preserve"> adlı bir eser yazmıştır.</w:t>
      </w:r>
      <w:r>
        <w:rPr>
          <w:rFonts w:ascii="Times New Roman" w:eastAsia="Times New Roman" w:hAnsi="Times New Roman"/>
          <w:sz w:val="12"/>
        </w:rPr>
        <w:t>115</w:t>
      </w:r>
      <w:proofErr w:type="gramEnd"/>
    </w:p>
    <w:p w:rsidR="0065234B" w:rsidRDefault="0065234B" w:rsidP="0065234B">
      <w:pPr>
        <w:spacing w:line="1" w:lineRule="exact"/>
        <w:rPr>
          <w:rFonts w:ascii="Times New Roman" w:eastAsia="Times New Roman" w:hAnsi="Times New Roman"/>
        </w:rPr>
      </w:pPr>
    </w:p>
    <w:p w:rsidR="0065234B" w:rsidRDefault="0065234B" w:rsidP="0065234B">
      <w:pPr>
        <w:spacing w:line="284" w:lineRule="auto"/>
        <w:ind w:left="6" w:firstLine="284"/>
        <w:jc w:val="both"/>
        <w:rPr>
          <w:rFonts w:ascii="Times New Roman" w:eastAsia="Times New Roman" w:hAnsi="Times New Roman"/>
          <w:sz w:val="12"/>
        </w:rPr>
      </w:pPr>
      <w:proofErr w:type="gramStart"/>
      <w:r>
        <w:rPr>
          <w:rFonts w:ascii="Times New Roman" w:eastAsia="Times New Roman" w:hAnsi="Times New Roman"/>
          <w:sz w:val="22"/>
        </w:rPr>
        <w:t>Ebû Saîd el-Hasen b. Ubeyd el-Nehrabânî ve Muhammed b. Ubeydullah b. Halef de yine Dâvûd’un talebeleri arasında yer almakta olup, çok az me-selede Dâvûd’a muhalefet etmişlerdir.</w:t>
      </w:r>
      <w:r>
        <w:rPr>
          <w:rFonts w:ascii="Times New Roman" w:eastAsia="Times New Roman" w:hAnsi="Times New Roman"/>
          <w:sz w:val="12"/>
        </w:rPr>
        <w:t>116</w:t>
      </w:r>
      <w:r>
        <w:rPr>
          <w:rFonts w:ascii="Times New Roman" w:eastAsia="Times New Roman" w:hAnsi="Times New Roman"/>
          <w:sz w:val="22"/>
        </w:rPr>
        <w:t xml:space="preserve"> Aynı şekilde Niftaveyh lakabıyla bilinen Ebû Abdillah İbrâhîm b. Muhammed b. Arafe ve el-Huseyn b. Ab-dillah es-Semerkandî de Dâvûd’un önemli talebelerindendir.</w:t>
      </w:r>
      <w:r>
        <w:rPr>
          <w:rFonts w:ascii="Times New Roman" w:eastAsia="Times New Roman" w:hAnsi="Times New Roman"/>
          <w:sz w:val="12"/>
        </w:rPr>
        <w:t>117</w:t>
      </w:r>
      <w:r>
        <w:rPr>
          <w:rFonts w:ascii="Times New Roman" w:eastAsia="Times New Roman" w:hAnsi="Times New Roman"/>
          <w:sz w:val="22"/>
        </w:rPr>
        <w:t xml:space="preserve"> İlk dönem Dâvûdîlerden yine Ebû İshâk İbrâhim b. Câbir’in </w:t>
      </w:r>
      <w:r>
        <w:rPr>
          <w:rFonts w:ascii="Times New Roman" w:eastAsia="Times New Roman" w:hAnsi="Times New Roman"/>
          <w:i/>
          <w:sz w:val="22"/>
        </w:rPr>
        <w:t>Kitâbu’l-İhtilâf</w:t>
      </w:r>
      <w:r>
        <w:rPr>
          <w:rFonts w:ascii="Times New Roman" w:eastAsia="Times New Roman" w:hAnsi="Times New Roman"/>
          <w:sz w:val="22"/>
        </w:rPr>
        <w:t xml:space="preserve"> adlı eseri olduğundan bahsedilmektedir.</w:t>
      </w:r>
      <w:r>
        <w:rPr>
          <w:rFonts w:ascii="Times New Roman" w:eastAsia="Times New Roman" w:hAnsi="Times New Roman"/>
          <w:sz w:val="12"/>
        </w:rPr>
        <w:t>118</w:t>
      </w:r>
      <w:proofErr w:type="gramEnd"/>
    </w:p>
    <w:p w:rsidR="0065234B" w:rsidRDefault="0065234B" w:rsidP="0065234B">
      <w:pPr>
        <w:spacing w:line="5" w:lineRule="exact"/>
        <w:rPr>
          <w:rFonts w:ascii="Times New Roman" w:eastAsia="Times New Roman" w:hAnsi="Times New Roman"/>
        </w:rPr>
      </w:pPr>
    </w:p>
    <w:p w:rsidR="0065234B" w:rsidRDefault="00CA36F6" w:rsidP="0065234B">
      <w:pPr>
        <w:spacing w:line="20" w:lineRule="exact"/>
        <w:rPr>
          <w:rFonts w:ascii="Times New Roman" w:eastAsia="Times New Roman" w:hAnsi="Times New Roman"/>
        </w:rPr>
      </w:pPr>
      <w:r w:rsidRPr="00CA36F6">
        <w:rPr>
          <w:rFonts w:ascii="Times New Roman" w:eastAsia="Times New Roman" w:hAnsi="Times New Roman"/>
          <w:sz w:val="21"/>
        </w:rPr>
        <w:pict>
          <v:line id="_x0000_s1028" style="position:absolute;z-index:-251654144" from="0,25.15pt" to="141.7pt,25.15pt" o:userdrawn="t" strokeweight=".25pt"/>
        </w:pict>
      </w:r>
    </w:p>
    <w:p w:rsidR="0065234B" w:rsidRDefault="0065234B" w:rsidP="0065234B">
      <w:pPr>
        <w:spacing w:line="200" w:lineRule="exact"/>
        <w:rPr>
          <w:rFonts w:ascii="Times New Roman" w:eastAsia="Times New Roman" w:hAnsi="Times New Roman"/>
        </w:rPr>
      </w:pPr>
    </w:p>
    <w:p w:rsidR="0065234B" w:rsidRDefault="0065234B" w:rsidP="0065234B">
      <w:pPr>
        <w:spacing w:line="313" w:lineRule="exact"/>
        <w:rPr>
          <w:rFonts w:ascii="Times New Roman" w:eastAsia="Times New Roman" w:hAnsi="Times New Roman"/>
        </w:rPr>
      </w:pPr>
    </w:p>
    <w:p w:rsidR="0065234B" w:rsidRDefault="0065234B" w:rsidP="0065234B">
      <w:pPr>
        <w:spacing w:line="0" w:lineRule="atLeast"/>
        <w:ind w:left="6"/>
        <w:rPr>
          <w:rFonts w:ascii="Times New Roman" w:eastAsia="Times New Roman" w:hAnsi="Times New Roman"/>
          <w:sz w:val="16"/>
        </w:rPr>
      </w:pPr>
      <w:r>
        <w:rPr>
          <w:rFonts w:ascii="Times New Roman" w:eastAsia="Times New Roman" w:hAnsi="Times New Roman"/>
          <w:sz w:val="16"/>
        </w:rPr>
        <w:t xml:space="preserve">112 Cessâs, </w:t>
      </w:r>
      <w:r>
        <w:rPr>
          <w:rFonts w:ascii="Times New Roman" w:eastAsia="Times New Roman" w:hAnsi="Times New Roman"/>
          <w:i/>
          <w:sz w:val="16"/>
        </w:rPr>
        <w:t>el-Fusûl</w:t>
      </w:r>
      <w:r>
        <w:rPr>
          <w:rFonts w:ascii="Times New Roman" w:eastAsia="Times New Roman" w:hAnsi="Times New Roman"/>
          <w:sz w:val="16"/>
        </w:rPr>
        <w:t>, IV/32.</w:t>
      </w:r>
    </w:p>
    <w:p w:rsidR="0065234B" w:rsidRDefault="0065234B" w:rsidP="0065234B">
      <w:pPr>
        <w:spacing w:line="27" w:lineRule="exact"/>
        <w:rPr>
          <w:rFonts w:ascii="Times New Roman" w:eastAsia="Times New Roman" w:hAnsi="Times New Roman"/>
        </w:rPr>
      </w:pPr>
    </w:p>
    <w:p w:rsidR="0065234B" w:rsidRDefault="0065234B" w:rsidP="0065234B">
      <w:pPr>
        <w:spacing w:line="0" w:lineRule="atLeast"/>
        <w:ind w:left="6"/>
        <w:rPr>
          <w:rFonts w:ascii="Times New Roman" w:eastAsia="Times New Roman" w:hAnsi="Times New Roman"/>
          <w:sz w:val="16"/>
        </w:rPr>
      </w:pPr>
      <w:r>
        <w:rPr>
          <w:rFonts w:ascii="Times New Roman" w:eastAsia="Times New Roman" w:hAnsi="Times New Roman"/>
          <w:sz w:val="16"/>
        </w:rPr>
        <w:t xml:space="preserve">113 Uceyl Câsim en-Neşemî, (Cessâs, </w:t>
      </w:r>
      <w:r>
        <w:rPr>
          <w:rFonts w:ascii="Times New Roman" w:eastAsia="Times New Roman" w:hAnsi="Times New Roman"/>
          <w:i/>
          <w:sz w:val="16"/>
        </w:rPr>
        <w:t>el-Fusûl</w:t>
      </w:r>
      <w:r>
        <w:rPr>
          <w:rFonts w:ascii="Times New Roman" w:eastAsia="Times New Roman" w:hAnsi="Times New Roman"/>
          <w:sz w:val="16"/>
        </w:rPr>
        <w:t>, tahkik dipnotu), IV/32.</w:t>
      </w:r>
    </w:p>
    <w:p w:rsidR="0065234B" w:rsidRDefault="0065234B" w:rsidP="0065234B">
      <w:pPr>
        <w:spacing w:line="8" w:lineRule="exact"/>
        <w:rPr>
          <w:rFonts w:ascii="Times New Roman" w:eastAsia="Times New Roman" w:hAnsi="Times New Roman"/>
        </w:rPr>
      </w:pPr>
    </w:p>
    <w:p w:rsidR="0065234B" w:rsidRDefault="0065234B" w:rsidP="0065234B">
      <w:pPr>
        <w:spacing w:line="0" w:lineRule="atLeast"/>
        <w:ind w:left="6"/>
        <w:rPr>
          <w:rFonts w:ascii="Times New Roman" w:eastAsia="Times New Roman" w:hAnsi="Times New Roman"/>
          <w:sz w:val="16"/>
        </w:rPr>
      </w:pPr>
      <w:r>
        <w:rPr>
          <w:rFonts w:ascii="Times New Roman" w:eastAsia="Times New Roman" w:hAnsi="Times New Roman"/>
          <w:sz w:val="16"/>
        </w:rPr>
        <w:t xml:space="preserve">114 İbn Hazm, </w:t>
      </w:r>
      <w:r>
        <w:rPr>
          <w:rFonts w:ascii="Times New Roman" w:eastAsia="Times New Roman" w:hAnsi="Times New Roman"/>
          <w:i/>
          <w:sz w:val="16"/>
        </w:rPr>
        <w:t>el-İhkâm</w:t>
      </w:r>
      <w:r>
        <w:rPr>
          <w:rFonts w:ascii="Times New Roman" w:eastAsia="Times New Roman" w:hAnsi="Times New Roman"/>
          <w:sz w:val="16"/>
        </w:rPr>
        <w:t>, II/546.</w:t>
      </w:r>
    </w:p>
    <w:p w:rsidR="0065234B" w:rsidRDefault="0065234B" w:rsidP="0065234B">
      <w:pPr>
        <w:spacing w:line="8" w:lineRule="exact"/>
        <w:rPr>
          <w:rFonts w:ascii="Times New Roman" w:eastAsia="Times New Roman" w:hAnsi="Times New Roman"/>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Şîrâzî</w:t>
      </w:r>
      <w:r>
        <w:rPr>
          <w:rFonts w:ascii="Times New Roman" w:eastAsia="Times New Roman" w:hAnsi="Times New Roman"/>
          <w:i/>
          <w:sz w:val="16"/>
        </w:rPr>
        <w:t>, Tabakâtü’l-Fukahâ</w:t>
      </w:r>
      <w:r>
        <w:rPr>
          <w:rFonts w:ascii="Times New Roman" w:eastAsia="Times New Roman" w:hAnsi="Times New Roman"/>
          <w:sz w:val="16"/>
        </w:rPr>
        <w:t>, s. 176.</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 xml:space="preserve">Şîrâzî, </w:t>
      </w:r>
      <w:r>
        <w:rPr>
          <w:rFonts w:ascii="Times New Roman" w:eastAsia="Times New Roman" w:hAnsi="Times New Roman"/>
          <w:i/>
          <w:sz w:val="16"/>
        </w:rPr>
        <w:t>Tabakâtü’l-Fukahâ</w:t>
      </w:r>
      <w:r>
        <w:rPr>
          <w:rFonts w:ascii="Times New Roman" w:eastAsia="Times New Roman" w:hAnsi="Times New Roman"/>
          <w:sz w:val="16"/>
        </w:rPr>
        <w:t>, s. 177.</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 xml:space="preserve">Şîrâzî, </w:t>
      </w:r>
      <w:r>
        <w:rPr>
          <w:rFonts w:ascii="Times New Roman" w:eastAsia="Times New Roman" w:hAnsi="Times New Roman"/>
          <w:i/>
          <w:sz w:val="16"/>
        </w:rPr>
        <w:t>Tabakâtü’l-Fukahâ</w:t>
      </w:r>
      <w:r>
        <w:rPr>
          <w:rFonts w:ascii="Times New Roman" w:eastAsia="Times New Roman" w:hAnsi="Times New Roman"/>
          <w:sz w:val="16"/>
        </w:rPr>
        <w:t>, s. 177.</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İbnü’n-Nedîm, s. 273.</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 xml:space="preserve">İbnü’n-Nedîm, s. 272; Safedî, III/48; Şîrâzî, </w:t>
      </w:r>
      <w:r>
        <w:rPr>
          <w:rFonts w:ascii="Times New Roman" w:eastAsia="Times New Roman" w:hAnsi="Times New Roman"/>
          <w:i/>
          <w:sz w:val="16"/>
        </w:rPr>
        <w:t>Tabakâtü’l-Fukahâ</w:t>
      </w:r>
      <w:r>
        <w:rPr>
          <w:rFonts w:ascii="Times New Roman" w:eastAsia="Times New Roman" w:hAnsi="Times New Roman"/>
          <w:sz w:val="16"/>
        </w:rPr>
        <w:t>, s. 177.</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 xml:space="preserve">İbnü’n-Nedîm, s. 272; Şîrâzî, </w:t>
      </w:r>
      <w:r>
        <w:rPr>
          <w:rFonts w:ascii="Times New Roman" w:eastAsia="Times New Roman" w:hAnsi="Times New Roman"/>
          <w:i/>
          <w:sz w:val="16"/>
        </w:rPr>
        <w:t>Tabakâtü’l-Fukahâ</w:t>
      </w:r>
      <w:r>
        <w:rPr>
          <w:rFonts w:ascii="Times New Roman" w:eastAsia="Times New Roman" w:hAnsi="Times New Roman"/>
          <w:sz w:val="16"/>
        </w:rPr>
        <w:t>, s. 177.</w:t>
      </w:r>
    </w:p>
    <w:p w:rsidR="0065234B" w:rsidRDefault="0065234B" w:rsidP="0065234B">
      <w:pPr>
        <w:spacing w:line="8" w:lineRule="exact"/>
        <w:rPr>
          <w:rFonts w:ascii="Times New Roman" w:eastAsia="Times New Roman" w:hAnsi="Times New Roman"/>
          <w:sz w:val="16"/>
        </w:rPr>
      </w:pPr>
    </w:p>
    <w:p w:rsidR="0065234B" w:rsidRDefault="0065234B" w:rsidP="0065234B">
      <w:pPr>
        <w:numPr>
          <w:ilvl w:val="0"/>
          <w:numId w:val="6"/>
        </w:numPr>
        <w:tabs>
          <w:tab w:val="left" w:pos="286"/>
        </w:tabs>
        <w:spacing w:line="0" w:lineRule="atLeast"/>
        <w:ind w:left="286" w:hanging="286"/>
        <w:rPr>
          <w:rFonts w:ascii="Times New Roman" w:eastAsia="Times New Roman" w:hAnsi="Times New Roman"/>
          <w:sz w:val="16"/>
        </w:rPr>
      </w:pPr>
      <w:r>
        <w:rPr>
          <w:rFonts w:ascii="Times New Roman" w:eastAsia="Times New Roman" w:hAnsi="Times New Roman"/>
          <w:sz w:val="16"/>
        </w:rPr>
        <w:t xml:space="preserve">Bkz: İbn Hazm, </w:t>
      </w:r>
      <w:r>
        <w:rPr>
          <w:rFonts w:ascii="Times New Roman" w:eastAsia="Times New Roman" w:hAnsi="Times New Roman"/>
          <w:i/>
          <w:sz w:val="16"/>
        </w:rPr>
        <w:t>el-İhkâm</w:t>
      </w:r>
      <w:r>
        <w:rPr>
          <w:rFonts w:ascii="Times New Roman" w:eastAsia="Times New Roman" w:hAnsi="Times New Roman"/>
          <w:sz w:val="16"/>
        </w:rPr>
        <w:t>, I/609.</w:t>
      </w:r>
    </w:p>
    <w:p w:rsidR="00D93C16" w:rsidRPr="0065234B" w:rsidRDefault="00EF3568" w:rsidP="0065234B"/>
    <w:sectPr w:rsidR="00D93C16" w:rsidRPr="0065234B"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41A7C4C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436C6124"/>
    <w:lvl w:ilvl="0" w:tplc="FFFFFFFF">
      <w:start w:val="9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28C895C"/>
    <w:lvl w:ilvl="0" w:tplc="FFFFFFFF">
      <w:start w:val="10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333AB104"/>
    <w:lvl w:ilvl="0" w:tplc="FFFFFFFF">
      <w:start w:val="1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2725A"/>
    <w:rsid w:val="00354863"/>
    <w:rsid w:val="00402397"/>
    <w:rsid w:val="00534153"/>
    <w:rsid w:val="0065234B"/>
    <w:rsid w:val="00680C6B"/>
    <w:rsid w:val="00791B6F"/>
    <w:rsid w:val="00974306"/>
    <w:rsid w:val="00C2725A"/>
    <w:rsid w:val="00CA36F6"/>
    <w:rsid w:val="00EF356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4</cp:revision>
  <dcterms:created xsi:type="dcterms:W3CDTF">2020-07-17T16:23:00Z</dcterms:created>
  <dcterms:modified xsi:type="dcterms:W3CDTF">2020-07-17T22:36:00Z</dcterms:modified>
</cp:coreProperties>
</file>