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5A" w:rsidRPr="00C11625" w:rsidRDefault="00A3705A" w:rsidP="00A3705A">
      <w:pPr>
        <w:pStyle w:val="ListeParagraf"/>
        <w:numPr>
          <w:ilvl w:val="0"/>
          <w:numId w:val="6"/>
        </w:numPr>
        <w:spacing w:after="0" w:line="240" w:lineRule="auto"/>
        <w:ind w:left="1418" w:right="1418"/>
        <w:jc w:val="both"/>
        <w:rPr>
          <w:rFonts w:asciiTheme="majorBidi" w:hAnsiTheme="majorBidi" w:cstheme="majorBidi"/>
          <w:b/>
          <w:bCs/>
          <w:sz w:val="24"/>
          <w:szCs w:val="24"/>
        </w:rPr>
      </w:pPr>
      <w:r w:rsidRPr="00C11625">
        <w:rPr>
          <w:rFonts w:asciiTheme="majorBidi" w:hAnsiTheme="majorBidi" w:cstheme="majorBidi"/>
          <w:b/>
          <w:bCs/>
          <w:sz w:val="24"/>
          <w:szCs w:val="24"/>
        </w:rPr>
        <w:t>Nikâh Akdinin Sıhhat Şartları</w:t>
      </w:r>
    </w:p>
    <w:p w:rsidR="00A3705A" w:rsidRPr="00C11625" w:rsidRDefault="00A3705A" w:rsidP="00A3705A">
      <w:pPr>
        <w:pStyle w:val="ListeParagraf"/>
        <w:numPr>
          <w:ilvl w:val="0"/>
          <w:numId w:val="7"/>
        </w:numPr>
        <w:tabs>
          <w:tab w:val="left" w:pos="1418"/>
        </w:tabs>
        <w:spacing w:after="0" w:line="240" w:lineRule="auto"/>
        <w:ind w:left="1418" w:right="1418" w:hanging="425"/>
        <w:jc w:val="both"/>
        <w:rPr>
          <w:rFonts w:asciiTheme="majorBidi" w:hAnsiTheme="majorBidi" w:cstheme="majorBidi"/>
          <w:b/>
          <w:bCs/>
          <w:sz w:val="24"/>
          <w:szCs w:val="24"/>
        </w:rPr>
      </w:pPr>
      <w:r w:rsidRPr="00C11625">
        <w:rPr>
          <w:rFonts w:asciiTheme="majorBidi" w:hAnsiTheme="majorBidi" w:cstheme="majorBidi"/>
          <w:b/>
          <w:bCs/>
          <w:sz w:val="24"/>
          <w:szCs w:val="24"/>
        </w:rPr>
        <w:t xml:space="preserve">Evlenecek kimseler arasında geçici ya da hakkında ihtilaf veya şüphe olan bir evlilik engeli bulunmaması: </w:t>
      </w:r>
      <w:r w:rsidRPr="00C11625">
        <w:rPr>
          <w:rFonts w:asciiTheme="majorBidi" w:hAnsiTheme="majorBidi" w:cstheme="majorBidi"/>
          <w:sz w:val="24"/>
          <w:szCs w:val="24"/>
        </w:rPr>
        <w:t>Evlenecek kimselerin birbirileri için uygun bir evlilik “</w:t>
      </w:r>
      <w:r w:rsidRPr="00C11625">
        <w:rPr>
          <w:rFonts w:asciiTheme="majorBidi" w:hAnsiTheme="majorBidi" w:cstheme="majorBidi"/>
          <w:i/>
          <w:iCs/>
          <w:sz w:val="24"/>
          <w:szCs w:val="24"/>
        </w:rPr>
        <w:t>mahal</w:t>
      </w:r>
      <w:r w:rsidRPr="00C11625">
        <w:rPr>
          <w:rFonts w:asciiTheme="majorBidi" w:hAnsiTheme="majorBidi" w:cstheme="majorBidi"/>
          <w:sz w:val="24"/>
          <w:szCs w:val="24"/>
        </w:rPr>
        <w:t>”li olmaları gerekmektedir.</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Daha önce belirtildiği üzere</w:t>
      </w:r>
      <w:r w:rsidRPr="00C11625">
        <w:rPr>
          <w:rFonts w:asciiTheme="majorBidi" w:hAnsiTheme="majorBidi" w:cstheme="majorBidi"/>
          <w:b/>
          <w:bCs/>
          <w:sz w:val="24"/>
          <w:szCs w:val="24"/>
        </w:rPr>
        <w:t xml:space="preserve"> </w:t>
      </w:r>
      <w:r w:rsidRPr="00C11625">
        <w:rPr>
          <w:rFonts w:asciiTheme="majorBidi" w:hAnsiTheme="majorBidi" w:cstheme="majorBidi"/>
          <w:sz w:val="24"/>
          <w:szCs w:val="24"/>
        </w:rPr>
        <w:t>evlenecek kimseler arasında sürekli ve kat’î bir evlilik engeli bulunmaması nikâh akdinin in’ikad şartlarındadır. Buna göre bir kişinin halası ya da teyzesi ile nikâhlanması halinde bu nikâh münakid bir nikâh vasfını kazanamamakta ve batıl kabul edilmektedir. Sürekli ve kat’î evlilik engeli bulunmaması bu kimselerin aralarında ‘</w:t>
      </w:r>
      <w:r w:rsidRPr="00C11625">
        <w:rPr>
          <w:rFonts w:asciiTheme="majorBidi" w:hAnsiTheme="majorBidi" w:cstheme="majorBidi"/>
          <w:i/>
          <w:iCs/>
          <w:sz w:val="24"/>
          <w:szCs w:val="24"/>
        </w:rPr>
        <w:t>aslî mahalliyet</w:t>
      </w:r>
      <w:r w:rsidRPr="00C11625">
        <w:rPr>
          <w:rFonts w:asciiTheme="majorBidi" w:hAnsiTheme="majorBidi" w:cstheme="majorBidi"/>
          <w:sz w:val="24"/>
          <w:szCs w:val="24"/>
        </w:rPr>
        <w:t>’ olduğunu göstermektedir. Taraflar arasında geçici evlenme engelinin bulunmaması ise nikâh akdinin sıhhat şartları arasında sayılmaktadır. Çünkü bir kimsenin halası ile evlenmesi hiçbir şekilde mümkün değildir. Fakat bir kimsenin baldızı ile evlenmesi mümkündür. Ancak zamanlama olarak kişinin eşi ile baldızı arasında aynı anda evli bulunması haramdır. Bu durumdaki bir kimse ile baldızı arasında ‘fer’î mahalliyet’ söz</w:t>
      </w:r>
      <w:r>
        <w:rPr>
          <w:rFonts w:asciiTheme="majorBidi" w:hAnsiTheme="majorBidi" w:cstheme="majorBidi"/>
          <w:sz w:val="24"/>
          <w:szCs w:val="24"/>
        </w:rPr>
        <w:t xml:space="preserve"> </w:t>
      </w:r>
      <w:r w:rsidRPr="00C11625">
        <w:rPr>
          <w:rFonts w:asciiTheme="majorBidi" w:hAnsiTheme="majorBidi" w:cstheme="majorBidi"/>
          <w:sz w:val="24"/>
          <w:szCs w:val="24"/>
        </w:rPr>
        <w:t xml:space="preserve">konusudur. Baldız ile olan evlilik, akdin rükunlarından kaynaklanan bir sebepten dolayı değil de rüknun dışında kalan arızî bir sebepten dolayı haram olduğundan dolayı, burada zikredilen şart, akdin in’ikad şartlarından değil sıhhat şartlarından sayılmıştır. Aynı şekilde hakkında ihtilaf veya şüphe olan bir evlilik engelinin bulunmamamsı da sıhhat şartlarındandır. Örneğin bir kimsenin, boşadığı eşi iddet döneminde </w:t>
      </w:r>
      <w:r w:rsidRPr="00C11625">
        <w:rPr>
          <w:rFonts w:asciiTheme="majorBidi" w:hAnsiTheme="majorBidi" w:cstheme="majorBidi"/>
          <w:sz w:val="24"/>
          <w:szCs w:val="24"/>
        </w:rPr>
        <w:lastRenderedPageBreak/>
        <w:t>iken baldızı ile evlenmesi böyle bir durumdur. Bu konu hakkında fakihler arasında bir ihtilaf vardır ve bu ihtilaf bir şüphe doğurmaktadır.</w:t>
      </w:r>
      <w:r w:rsidRPr="00C11625">
        <w:rPr>
          <w:rFonts w:asciiTheme="majorBidi" w:hAnsiTheme="majorBidi" w:cstheme="majorBidi"/>
          <w:b/>
          <w:bCs/>
          <w:sz w:val="24"/>
          <w:szCs w:val="24"/>
        </w:rPr>
        <w:t xml:space="preserve"> </w:t>
      </w:r>
    </w:p>
    <w:p w:rsidR="00A3705A" w:rsidRPr="00C11625" w:rsidRDefault="00A3705A" w:rsidP="00A3705A">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b/>
          <w:bCs/>
          <w:sz w:val="24"/>
          <w:szCs w:val="24"/>
        </w:rPr>
        <w:tab/>
      </w:r>
      <w:r w:rsidRPr="00C11625">
        <w:rPr>
          <w:rFonts w:asciiTheme="majorBidi" w:hAnsiTheme="majorBidi" w:cstheme="majorBidi"/>
          <w:sz w:val="24"/>
          <w:szCs w:val="24"/>
        </w:rPr>
        <w:t>Hanefi mezhebine gör</w:t>
      </w:r>
      <w:r>
        <w:rPr>
          <w:rFonts w:asciiTheme="majorBidi" w:hAnsiTheme="majorBidi" w:cstheme="majorBidi"/>
          <w:sz w:val="24"/>
          <w:szCs w:val="24"/>
        </w:rPr>
        <w:t>e, bu sıhhat şartının bulunmama</w:t>
      </w:r>
      <w:r w:rsidRPr="00C11625">
        <w:rPr>
          <w:rFonts w:asciiTheme="majorBidi" w:hAnsiTheme="majorBidi" w:cstheme="majorBidi"/>
          <w:sz w:val="24"/>
          <w:szCs w:val="24"/>
        </w:rPr>
        <w:t>sı halinde nikâh fasid kabul edilmektedir. Cumhur ise bu nikâhı bâ</w:t>
      </w:r>
      <w:r>
        <w:rPr>
          <w:rFonts w:asciiTheme="majorBidi" w:hAnsiTheme="majorBidi" w:cstheme="majorBidi"/>
          <w:sz w:val="24"/>
          <w:szCs w:val="24"/>
        </w:rPr>
        <w:t>tıl saymaktadır. Akitlerin fasid</w:t>
      </w:r>
      <w:r w:rsidRPr="00C11625">
        <w:rPr>
          <w:rFonts w:asciiTheme="majorBidi" w:hAnsiTheme="majorBidi" w:cstheme="majorBidi"/>
          <w:sz w:val="24"/>
          <w:szCs w:val="24"/>
        </w:rPr>
        <w:t xml:space="preserve"> ya da batıl olmasının ne gibi bir farklılık doğurduğu akit teorisi ele alınırken daha geniş bir şekilde ele alınacaktır.  </w:t>
      </w:r>
    </w:p>
    <w:p w:rsidR="00A3705A" w:rsidRPr="008C318F" w:rsidRDefault="00A3705A" w:rsidP="00A3705A">
      <w:pPr>
        <w:pStyle w:val="ListeParagraf"/>
        <w:numPr>
          <w:ilvl w:val="0"/>
          <w:numId w:val="7"/>
        </w:numPr>
        <w:tabs>
          <w:tab w:val="left" w:pos="1418"/>
        </w:tabs>
        <w:spacing w:after="0" w:line="240" w:lineRule="auto"/>
        <w:ind w:left="1418" w:right="1418" w:hanging="425"/>
        <w:jc w:val="both"/>
        <w:rPr>
          <w:rFonts w:asciiTheme="majorBidi" w:hAnsiTheme="majorBidi" w:cstheme="majorBidi"/>
          <w:b/>
          <w:bCs/>
          <w:sz w:val="24"/>
          <w:szCs w:val="24"/>
        </w:rPr>
      </w:pPr>
      <w:r w:rsidRPr="00C11625">
        <w:rPr>
          <w:rFonts w:asciiTheme="majorBidi" w:hAnsiTheme="majorBidi" w:cstheme="majorBidi"/>
          <w:b/>
          <w:bCs/>
          <w:sz w:val="24"/>
          <w:szCs w:val="24"/>
        </w:rPr>
        <w:t xml:space="preserve">İrade beyanının belirli bir zamanla sınırlandırılmamış olması: </w:t>
      </w:r>
      <w:r w:rsidRPr="00C11625">
        <w:rPr>
          <w:rFonts w:asciiTheme="majorBidi" w:hAnsiTheme="majorBidi" w:cstheme="majorBidi"/>
          <w:sz w:val="24"/>
          <w:szCs w:val="24"/>
        </w:rPr>
        <w:t xml:space="preserve">Buna göre bir kimsenin “bu şehirde kaldığım sürece senle evlenmeyi kabul ediyorum” ya da “şu kadar süre evli kalmak şartıyla senle evli kalmayı kabul ediyorum” şeklinde bir irade beyanında bulunması halinde yapılan nikâh sahih değildir. Bu şekilde yapılan nikâha </w:t>
      </w:r>
      <w:r w:rsidRPr="00C11625">
        <w:rPr>
          <w:rFonts w:asciiTheme="majorBidi" w:hAnsiTheme="majorBidi" w:cstheme="majorBidi"/>
          <w:i/>
          <w:iCs/>
          <w:sz w:val="24"/>
          <w:szCs w:val="24"/>
        </w:rPr>
        <w:t>mut’a nikâhı</w:t>
      </w:r>
      <w:r w:rsidRPr="00C11625">
        <w:rPr>
          <w:rFonts w:asciiTheme="majorBidi" w:hAnsiTheme="majorBidi" w:cstheme="majorBidi"/>
          <w:sz w:val="24"/>
          <w:szCs w:val="24"/>
        </w:rPr>
        <w:t xml:space="preserve"> ya da </w:t>
      </w:r>
      <w:r w:rsidRPr="00C11625">
        <w:rPr>
          <w:rFonts w:asciiTheme="majorBidi" w:hAnsiTheme="majorBidi" w:cstheme="majorBidi"/>
          <w:i/>
          <w:iCs/>
          <w:sz w:val="24"/>
          <w:szCs w:val="24"/>
        </w:rPr>
        <w:t>muvakkat nikâh</w:t>
      </w:r>
      <w:r w:rsidRPr="00C11625">
        <w:rPr>
          <w:rFonts w:asciiTheme="majorBidi" w:hAnsiTheme="majorBidi" w:cstheme="majorBidi"/>
          <w:sz w:val="24"/>
          <w:szCs w:val="24"/>
        </w:rPr>
        <w:t xml:space="preserve"> denir. Bu şekilde gerçekleştirilen nikâhın hükmü fesh edilmesidir. Çünkü evlilik sahih olmayacağı için bu evliliğin sona ermesi talâk olarak isimlendirilemez. Ca’ferî mezhebi diye de bilinen İmamiyye Şîa’sı Mut’a nikâhının caiz olduğu görüşündedirler. Onlara göre velînin izni olmaksızın ve şahitlerin bulunması şart koşulmaksızın Müslüman ya da kitabî kadınlarla, sürenin nikâh esnasında belirtilmesi şartıyla mut’a nikâhı yapılabilir. İmam Züfer, muvakkat nikâhın geçerli olacağını söyleyerek şu şekilde bir açıklama getirmiştir: Bu nikâh tıpkı geçersiz şartlar sürülen bir nikâha benzer. Dolayısıyla süre şartı geçersiz nikâh akdi geçerlidir. Ancak bu görüş genel kabul görmemiştir.</w:t>
      </w:r>
    </w:p>
    <w:p w:rsidR="00A3705A" w:rsidRPr="00C11625" w:rsidRDefault="00A3705A" w:rsidP="00A3705A">
      <w:pPr>
        <w:pStyle w:val="ListeParagraf"/>
        <w:numPr>
          <w:ilvl w:val="0"/>
          <w:numId w:val="7"/>
        </w:numPr>
        <w:tabs>
          <w:tab w:val="left" w:pos="1418"/>
        </w:tabs>
        <w:spacing w:after="0" w:line="240" w:lineRule="auto"/>
        <w:ind w:left="1418" w:right="1418" w:hanging="425"/>
        <w:jc w:val="both"/>
        <w:rPr>
          <w:rFonts w:asciiTheme="majorBidi" w:hAnsiTheme="majorBidi" w:cstheme="majorBidi"/>
          <w:b/>
          <w:bCs/>
          <w:sz w:val="24"/>
          <w:szCs w:val="24"/>
        </w:rPr>
      </w:pPr>
      <w:r w:rsidRPr="00C11625">
        <w:rPr>
          <w:rFonts w:asciiTheme="majorBidi" w:hAnsiTheme="majorBidi" w:cstheme="majorBidi"/>
          <w:b/>
          <w:bCs/>
          <w:sz w:val="24"/>
          <w:szCs w:val="24"/>
        </w:rPr>
        <w:lastRenderedPageBreak/>
        <w:t xml:space="preserve">Şahitlerin nikâha tanıklık etmesi: </w:t>
      </w:r>
      <w:r w:rsidRPr="00C11625">
        <w:rPr>
          <w:rFonts w:asciiTheme="majorBidi" w:hAnsiTheme="majorBidi" w:cstheme="majorBidi"/>
          <w:sz w:val="24"/>
          <w:szCs w:val="24"/>
        </w:rPr>
        <w:t>Nikâhın sahih olabilmesinin şartlarından biri de nikâh esnasında velî dışında iki şahidin bulunmasıdır. Mâlikî mezhebinde şahitlik konusu ‘aleniyet’ ile ilişkilendirilmiştir. Buna göre şahitlikten maksat nikâhın herkes tarafından duyulmasını ve nikâh konusunda çeşitli şüphelerin doğmamasını sağlamak olduğuna göre şahitlere, gerçekleştirmiş oldukları bu şahitliği başkalarına söylememelerinin tembihlenmesi halinde bu nikâh (</w:t>
      </w:r>
      <w:r w:rsidRPr="00C11625">
        <w:rPr>
          <w:rFonts w:asciiTheme="majorBidi" w:hAnsiTheme="majorBidi" w:cstheme="majorBidi"/>
          <w:i/>
          <w:iCs/>
          <w:sz w:val="24"/>
          <w:szCs w:val="24"/>
        </w:rPr>
        <w:t>nihâku’s-sir</w:t>
      </w:r>
      <w:r w:rsidRPr="00C11625">
        <w:rPr>
          <w:rFonts w:asciiTheme="majorBidi" w:hAnsiTheme="majorBidi" w:cstheme="majorBidi"/>
          <w:sz w:val="24"/>
          <w:szCs w:val="24"/>
        </w:rPr>
        <w:t>) sıhhatini yitirecektir. Çünkü bu durumda nikâhın aleniyetinin engellenmesi söz konusudur.</w:t>
      </w:r>
    </w:p>
    <w:p w:rsidR="00A3705A" w:rsidRPr="00C11625" w:rsidRDefault="00A3705A" w:rsidP="00A3705A">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b/>
          <w:bCs/>
          <w:sz w:val="24"/>
          <w:szCs w:val="24"/>
        </w:rPr>
        <w:tab/>
      </w:r>
      <w:r w:rsidRPr="00C11625">
        <w:rPr>
          <w:rFonts w:asciiTheme="majorBidi" w:hAnsiTheme="majorBidi" w:cstheme="majorBidi"/>
          <w:sz w:val="24"/>
          <w:szCs w:val="24"/>
        </w:rPr>
        <w:t xml:space="preserve">Şahitsiz gerçekleştirilen bir nikâhın hükmü fesh olunmasıdır. Caferî mezhebinde nikâh akdi esnasında şahitlerin bulunması ve nikâhın aleniyet kazanması şart değildir. Ancak şehadetin ve aleniyetin sağlanması müstehaptır. Oysa şahitlerin nikâh akdi esnasında bulunması gerektiği Hz. Peygamber tarafından açıkça bildirilmiştir. </w:t>
      </w:r>
    </w:p>
    <w:p w:rsidR="00A3705A" w:rsidRPr="00C11625" w:rsidRDefault="00A3705A" w:rsidP="00A3705A">
      <w:pPr>
        <w:pStyle w:val="ListeParagraf"/>
        <w:numPr>
          <w:ilvl w:val="0"/>
          <w:numId w:val="7"/>
        </w:numPr>
        <w:tabs>
          <w:tab w:val="left" w:pos="1418"/>
        </w:tabs>
        <w:spacing w:after="0" w:line="240" w:lineRule="auto"/>
        <w:ind w:left="1418" w:right="1418" w:hanging="425"/>
        <w:jc w:val="both"/>
        <w:rPr>
          <w:rFonts w:asciiTheme="majorBidi" w:hAnsiTheme="majorBidi" w:cstheme="majorBidi"/>
          <w:b/>
          <w:bCs/>
          <w:sz w:val="24"/>
          <w:szCs w:val="24"/>
        </w:rPr>
      </w:pPr>
      <w:r w:rsidRPr="00C11625">
        <w:rPr>
          <w:rFonts w:asciiTheme="majorBidi" w:hAnsiTheme="majorBidi" w:cstheme="majorBidi"/>
          <w:b/>
          <w:bCs/>
          <w:sz w:val="24"/>
          <w:szCs w:val="24"/>
        </w:rPr>
        <w:t xml:space="preserve">Akdin taraflarının nikâh konusunda karşılıklı rızasının bulunması: </w:t>
      </w:r>
      <w:r w:rsidRPr="00C11625">
        <w:rPr>
          <w:rFonts w:asciiTheme="majorBidi" w:hAnsiTheme="majorBidi" w:cstheme="majorBidi"/>
          <w:sz w:val="24"/>
          <w:szCs w:val="24"/>
        </w:rPr>
        <w:t xml:space="preserve">Îcâb ve kabûlün bulunması nikâh akdini kuran (in’ikâd) şartlardandır. Ancak bu îcâbla kabûlün rızaya dayanmama ihtimali vardır. Rızaya dayanmayan bir irade beyanı ile gerçekleşen nikâh akdi sahih değildir. Bu konudaki genel yaklaşım bu şekilde olmakla birlikte ilk dönem Hanefî imamlardan zorlama altındaki bir kimsenin nikâhının ve talâkının geçerli olabileceğine dair çeşitli görüşler nakledilmiştir. Hz. Peygamber, zorlama ile yapılan tasarruflar hakkında “Allah </w:t>
      </w:r>
      <w:r w:rsidRPr="00C11625">
        <w:rPr>
          <w:rFonts w:asciiTheme="majorBidi" w:hAnsiTheme="majorBidi" w:cstheme="majorBidi"/>
          <w:sz w:val="24"/>
          <w:szCs w:val="24"/>
        </w:rPr>
        <w:lastRenderedPageBreak/>
        <w:t>benim ümmetimden hata unutma ve zorlama ile yapılan şeylerin sorumluluğunu düşürmüştür” buyurmaktadır. (İbn Mâce, Sünen, Talâk, 16.)</w:t>
      </w:r>
    </w:p>
    <w:p w:rsidR="00A3705A" w:rsidRPr="00C11625" w:rsidRDefault="00A3705A" w:rsidP="00A3705A">
      <w:pPr>
        <w:pStyle w:val="ListeParagraf"/>
        <w:numPr>
          <w:ilvl w:val="0"/>
          <w:numId w:val="7"/>
        </w:numPr>
        <w:tabs>
          <w:tab w:val="left" w:pos="1418"/>
        </w:tabs>
        <w:spacing w:after="0" w:line="240" w:lineRule="auto"/>
        <w:ind w:left="1418" w:right="1418" w:hanging="425"/>
        <w:jc w:val="both"/>
        <w:rPr>
          <w:rFonts w:asciiTheme="majorBidi" w:hAnsiTheme="majorBidi" w:cstheme="majorBidi"/>
          <w:b/>
          <w:bCs/>
          <w:sz w:val="24"/>
          <w:szCs w:val="24"/>
        </w:rPr>
      </w:pPr>
      <w:r w:rsidRPr="00C11625">
        <w:rPr>
          <w:rFonts w:asciiTheme="majorBidi" w:hAnsiTheme="majorBidi" w:cstheme="majorBidi"/>
          <w:b/>
          <w:bCs/>
          <w:sz w:val="24"/>
          <w:szCs w:val="24"/>
        </w:rPr>
        <w:t xml:space="preserve">Nikâh akdedenlerin hac ya da umre ihramında bulunmaması: </w:t>
      </w:r>
      <w:r w:rsidRPr="00C11625">
        <w:rPr>
          <w:rFonts w:asciiTheme="majorBidi" w:hAnsiTheme="majorBidi" w:cstheme="majorBidi"/>
          <w:sz w:val="24"/>
          <w:szCs w:val="24"/>
        </w:rPr>
        <w:t>Mâlikî, Şâfiî ve Hanbelî mezheplerine göre ihramda bulunan bir kimsenin nikâh akdetmesi halinde bu nikâh sahih olmaz. Bu mezheplerin bu konuda esas aldıkları delil Hz. Peygamberin “ihrama giren kişi nikâh yapamaz” (Nesâî, Menâsik, 91.) şeklindeki hadisidir. Hanefiler ise hadisteki nikâh lafzının lügavi anlamda kullanıldığını ve ihramlının cinsel ilişkiden geri durmasının ifade edildiğini söyleyerek, ihramda bulunmamayı nikâh akdinin sıhhat şartları arasında saymamaktadırlar. Onlar bu görüşlerini Hz. Peygamber’in Meymûne bt. el-Haris’le ihramlı iken evlenmiş olması ile desteklemişlerdir.</w:t>
      </w:r>
    </w:p>
    <w:p w:rsidR="00A3705A" w:rsidRPr="00C11625" w:rsidRDefault="00A3705A" w:rsidP="00A3705A">
      <w:pPr>
        <w:pStyle w:val="ListeParagraf"/>
        <w:numPr>
          <w:ilvl w:val="0"/>
          <w:numId w:val="7"/>
        </w:numPr>
        <w:tabs>
          <w:tab w:val="left" w:pos="1418"/>
        </w:tabs>
        <w:spacing w:after="0" w:line="240" w:lineRule="auto"/>
        <w:ind w:left="1418" w:right="1418" w:hanging="425"/>
        <w:jc w:val="both"/>
        <w:rPr>
          <w:rFonts w:asciiTheme="majorBidi" w:hAnsiTheme="majorBidi" w:cstheme="majorBidi"/>
          <w:sz w:val="24"/>
          <w:szCs w:val="24"/>
        </w:rPr>
      </w:pPr>
      <w:r w:rsidRPr="00C11625">
        <w:rPr>
          <w:rFonts w:asciiTheme="majorBidi" w:hAnsiTheme="majorBidi" w:cstheme="majorBidi"/>
          <w:b/>
          <w:bCs/>
          <w:sz w:val="24"/>
          <w:szCs w:val="24"/>
        </w:rPr>
        <w:t xml:space="preserve">Mehir: </w:t>
      </w:r>
      <w:r w:rsidRPr="00C11625">
        <w:rPr>
          <w:rFonts w:asciiTheme="majorBidi" w:hAnsiTheme="majorBidi" w:cstheme="majorBidi"/>
          <w:sz w:val="24"/>
          <w:szCs w:val="24"/>
        </w:rPr>
        <w:t xml:space="preserve">Mâlikî mezhebine göre mehirsiz yapılan nikâh akdi sahih değildir. Ancak mehrin nikâh akdi esnasında belirtilmesi şart değildir. Cumhûr ise herhangi bir mehir belirlenmese ya da mehir ödenmese dahi nikâhın sahih olacağını ifade etmektedirler. Onlara göre, mehir akdin rükunlarından biri olmayıp sadece bir tür hediyeden ibarettir. Dolayısıyla bu konudaki eksiklik akdin sıhhatine zarar vermez. </w:t>
      </w:r>
    </w:p>
    <w:p w:rsidR="00A3705A" w:rsidRPr="00C11625" w:rsidRDefault="00A3705A" w:rsidP="00A3705A">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ab/>
        <w:t xml:space="preserve">Mehirle ilgili hükümler de kısaca şu şekildedir: </w:t>
      </w:r>
    </w:p>
    <w:p w:rsidR="00A3705A" w:rsidRPr="00C11625" w:rsidRDefault="00A3705A" w:rsidP="00A3705A">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ab/>
        <w:t xml:space="preserve">Taraflar nikâh akdinden sonra da mehir miktarı konusunda anlaşabilirler. Hem mehir belirlenmiş hem de taraflar </w:t>
      </w:r>
      <w:r w:rsidRPr="00C11625">
        <w:rPr>
          <w:rFonts w:asciiTheme="majorBidi" w:hAnsiTheme="majorBidi" w:cstheme="majorBidi"/>
          <w:sz w:val="24"/>
          <w:szCs w:val="24"/>
        </w:rPr>
        <w:lastRenderedPageBreak/>
        <w:t>arasında cinsel birliktelik gerçekleşmiş ise erkeğin belirlenen mehri (</w:t>
      </w:r>
      <w:r w:rsidRPr="00C11625">
        <w:rPr>
          <w:rFonts w:asciiTheme="majorBidi" w:hAnsiTheme="majorBidi" w:cstheme="majorBidi"/>
          <w:i/>
          <w:iCs/>
          <w:sz w:val="24"/>
          <w:szCs w:val="24"/>
        </w:rPr>
        <w:t>mehr-i müsemmâ</w:t>
      </w:r>
      <w:r w:rsidRPr="00C11625">
        <w:rPr>
          <w:rFonts w:asciiTheme="majorBidi" w:hAnsiTheme="majorBidi" w:cstheme="majorBidi"/>
          <w:sz w:val="24"/>
          <w:szCs w:val="24"/>
        </w:rPr>
        <w:t xml:space="preserve">) kadına ödemesi gerekir. </w:t>
      </w:r>
    </w:p>
    <w:p w:rsidR="00A3705A" w:rsidRPr="00C11625" w:rsidRDefault="00A3705A" w:rsidP="00A3705A">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ab/>
        <w:t xml:space="preserve">Erkeğin, evlilik devam ederken ödemiş olduğu mehri boşanırken istemesi caiz olmaz. Çünkü ayeti kerimede “Bir eşin yerine başka bir eşi almak isterseniz, birincisine bir yük altın vermiş olsanız bile ondan bir şey almayın” (4. Nisâ 20) buyrulmaktadır. Mehrin belirlenip cinsel birlikteliğin gerçekleşmesi fakat gerçekleşen nikâh akdinde feshi gerektiren bir eksikliğin olduğunun anlaşılması halinde de hüküm aynıdır. Yani belirlenen mehir tam olarak verilmelidir. </w:t>
      </w:r>
    </w:p>
    <w:p w:rsidR="00A3705A" w:rsidRPr="00C11625" w:rsidRDefault="00A3705A" w:rsidP="00A3705A">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ab/>
        <w:t>Eğer, mehir belirlenmiş fakat cinsel birliktelik gerçekleşmeden boşanma vuku bulmuşsa belirlenen mehrin yarısının ödenmesi gerekmektedir. Bu durumda her iki tarafın da haklarından feragat etmeleri de ayeti kerimede övülen bir davranış olarak sunulmuştur: “Eğer onlara mehir tespit eder de kendilerine el sürmeden boşarsanız, tespit ettiğiniz mehrin yarısı onlarındır. Ancak kadının, ya da nikâh bağı elinde bulunanın (kocanın, paylarından) vazgeçmesi başka. Bununla birlikte (ey erkekler), sizin vazgeçmeniz takvaya (Allah’a karşı gelmekten sakınmaya) daha yakındır. Aranızda iyilik yapmayı da unutmayın. Şüphesiz Allah, yaptıklarınızı hakkıyla görendir.” (2. Bakara, 237.)</w:t>
      </w:r>
    </w:p>
    <w:p w:rsidR="00A3705A" w:rsidRPr="00C11625" w:rsidRDefault="00A3705A" w:rsidP="00A3705A">
      <w:pPr>
        <w:pStyle w:val="ListeParagraf"/>
        <w:tabs>
          <w:tab w:val="left" w:pos="1418"/>
        </w:tabs>
        <w:spacing w:after="0" w:line="240" w:lineRule="auto"/>
        <w:ind w:left="1418" w:right="1418"/>
        <w:jc w:val="both"/>
        <w:rPr>
          <w:rFonts w:asciiTheme="majorBidi" w:hAnsiTheme="majorBidi" w:cstheme="majorBidi"/>
          <w:sz w:val="24"/>
          <w:szCs w:val="24"/>
        </w:rPr>
      </w:pPr>
      <w:r w:rsidRPr="00C11625">
        <w:rPr>
          <w:rFonts w:asciiTheme="majorBidi" w:hAnsiTheme="majorBidi" w:cstheme="majorBidi"/>
          <w:sz w:val="24"/>
          <w:szCs w:val="24"/>
        </w:rPr>
        <w:tab/>
        <w:t xml:space="preserve">Eğer taraflar mehir belirlemeden evlenmişler ve aralarında cinsel birliktelik gerçekleşmeden boşanmışlarsa herhangi bir mehir </w:t>
      </w:r>
      <w:r w:rsidRPr="00C11625">
        <w:rPr>
          <w:rFonts w:asciiTheme="majorBidi" w:hAnsiTheme="majorBidi" w:cstheme="majorBidi"/>
          <w:sz w:val="24"/>
          <w:szCs w:val="24"/>
        </w:rPr>
        <w:lastRenderedPageBreak/>
        <w:t>ödenmesi gerekli görülmemiştir. Ancak yaşanan bu olumsuz durum karşısında kadını teselli etmek için erkeğin, kendi imkanları ölçüsünde kadına bir hediye vermesi tavsiye edilmiştir: “Nikâhtan sonra, henüz dokunmadan veya kendileri için belli bir mehir tayin etmeden kadınları boşarsanız bunda size bir günah yoktur. Bu durumda onları (hediye cinsinden bir şeylerle) faydalandırın. Durumu iyi olan kendi gücü oranında, darda olan da kendi gücü oranında örfe göre bir şeyler vermeli. Bu, iyilik sahiplerinin üzerine bir yükümlülüktür.” (2. Bakara, 236.)</w:t>
      </w:r>
    </w:p>
    <w:p w:rsidR="00D93C16" w:rsidRPr="00A3705A" w:rsidRDefault="00A3705A" w:rsidP="00A3705A"/>
    <w:sectPr w:rsidR="00D93C16" w:rsidRPr="00A3705A" w:rsidSect="00FE5E3D">
      <w:pgSz w:w="9240" w:h="13663"/>
      <w:pgMar w:top="1237" w:right="1141" w:bottom="1440" w:left="1300" w:header="0" w:footer="0" w:gutter="0"/>
      <w:cols w:space="0" w:equalWidth="0">
        <w:col w:w="68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AE8944A"/>
    <w:lvl w:ilvl="0" w:tplc="FFFFFFFF">
      <w:start w:val="1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3F2DBA30"/>
    <w:lvl w:ilvl="0" w:tplc="FFFFFFFF">
      <w:start w:val="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7C83E458"/>
    <w:lvl w:ilvl="0" w:tplc="FFFFFFFF">
      <w:start w:val="6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257130A2"/>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721DA316"/>
    <w:lvl w:ilvl="0" w:tplc="FFFFFFFF">
      <w:start w:val="1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328965E3"/>
    <w:multiLevelType w:val="hybridMultilevel"/>
    <w:tmpl w:val="2368B312"/>
    <w:lvl w:ilvl="0" w:tplc="69EE392C">
      <w:start w:val="1"/>
      <w:numFmt w:val="decimal"/>
      <w:lvlText w:val="%1."/>
      <w:lvlJc w:val="left"/>
      <w:pPr>
        <w:ind w:left="2138" w:hanging="360"/>
      </w:pPr>
      <w:rPr>
        <w:rFonts w:hint="default"/>
        <w:b/>
        <w:bCs/>
      </w:rPr>
    </w:lvl>
    <w:lvl w:ilvl="1" w:tplc="041F0019">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6">
    <w:nsid w:val="745F3C07"/>
    <w:multiLevelType w:val="hybridMultilevel"/>
    <w:tmpl w:val="38100F70"/>
    <w:lvl w:ilvl="0" w:tplc="38BCD678">
      <w:start w:val="1"/>
      <w:numFmt w:val="upp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22112"/>
    <w:rsid w:val="00033213"/>
    <w:rsid w:val="00354863"/>
    <w:rsid w:val="00402397"/>
    <w:rsid w:val="004F2763"/>
    <w:rsid w:val="00534153"/>
    <w:rsid w:val="00680C6B"/>
    <w:rsid w:val="006B5A66"/>
    <w:rsid w:val="00974306"/>
    <w:rsid w:val="00A3705A"/>
    <w:rsid w:val="00EC6603"/>
    <w:rsid w:val="00F22112"/>
    <w:rsid w:val="00FE5E3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12"/>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705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5</cp:revision>
  <dcterms:created xsi:type="dcterms:W3CDTF">2020-07-17T16:24:00Z</dcterms:created>
  <dcterms:modified xsi:type="dcterms:W3CDTF">2020-07-18T03:21:00Z</dcterms:modified>
</cp:coreProperties>
</file>