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79" w:rsidRPr="00B80BDC" w:rsidRDefault="00BD4879" w:rsidP="00BD4879">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BD4879" w:rsidRPr="00B80BDC" w:rsidRDefault="00BD4879" w:rsidP="00BD4879">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BD4879" w:rsidRDefault="00BD4879" w:rsidP="00BD4879">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D4879" w:rsidRPr="00B80BDC" w:rsidTr="000B0BFF">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D4879" w:rsidRPr="00B80BDC" w:rsidRDefault="00BD4879"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5</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D4879" w:rsidRPr="00B80BDC" w:rsidRDefault="00BD4879" w:rsidP="004719F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Devrimler ve Hedeflerine Genel Bir Bakış; Hukuk Alanında Yapılan Devrimler; 1924 Teşkilat-ı Esasiye Kanunu; Türk Medeni Kanunu’nun Kabul Edilmesi; Diğer Temel Kanunların Kabul Edilmesi; Kadın Hakları</w:t>
            </w:r>
          </w:p>
        </w:tc>
      </w:tr>
      <w:tr w:rsidR="00BD4879" w:rsidRPr="00B80BDC" w:rsidTr="000B0BFF">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D4879" w:rsidRPr="00B80BDC" w:rsidRDefault="00BD4879"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D4879" w:rsidRPr="00B80BDC" w:rsidRDefault="00BD4879" w:rsidP="000B0BFF">
            <w:pPr>
              <w:spacing w:after="0" w:line="240" w:lineRule="auto"/>
              <w:jc w:val="center"/>
              <w:rPr>
                <w:rFonts w:ascii="Times New Roman" w:eastAsia="Times New Roman" w:hAnsi="Times New Roman" w:cs="Times New Roman"/>
                <w:b/>
                <w:color w:val="FF0000"/>
                <w:lang w:eastAsia="tr-TR"/>
              </w:rPr>
            </w:pPr>
          </w:p>
        </w:tc>
      </w:tr>
    </w:tbl>
    <w:bookmarkStart w:id="0" w:name="_GoBack"/>
    <w:p w:rsidR="00BD4879" w:rsidRPr="00B80BDC" w:rsidRDefault="00CB73F6" w:rsidP="00BD4879">
      <w:pPr>
        <w:spacing w:before="120" w:after="120" w:line="240" w:lineRule="auto"/>
        <w:jc w:val="center"/>
        <w:rPr>
          <w:rFonts w:ascii="Times New Roman" w:eastAsia="Times New Roman" w:hAnsi="Times New Roman" w:cs="Times New Roman"/>
          <w:b/>
          <w:lang w:eastAsia="tr-TR"/>
        </w:rPr>
      </w:pPr>
      <w:r>
        <w:fldChar w:fldCharType="begin"/>
      </w:r>
      <w:r>
        <w:instrText xml:space="preserve"> HYPERLINK \l "_Toc458593175" </w:instrText>
      </w:r>
      <w:r>
        <w:fldChar w:fldCharType="separate"/>
      </w:r>
      <w:r w:rsidR="00BD4879" w:rsidRPr="00B80BDC">
        <w:rPr>
          <w:rFonts w:ascii="Times New Roman" w:eastAsia="Times New Roman" w:hAnsi="Times New Roman" w:cs="Times New Roman"/>
          <w:b/>
          <w:noProof/>
          <w:lang w:eastAsia="tr-TR"/>
        </w:rPr>
        <w:t>Atatürk Dönemi Türk Devrimi</w:t>
      </w:r>
      <w:r>
        <w:rPr>
          <w:rFonts w:ascii="Times New Roman" w:eastAsia="Times New Roman" w:hAnsi="Times New Roman" w:cs="Times New Roman"/>
          <w:b/>
          <w:noProof/>
          <w:lang w:eastAsia="tr-TR"/>
        </w:rPr>
        <w:fldChar w:fldCharType="end"/>
      </w:r>
    </w:p>
    <w:p w:rsidR="00BD4879" w:rsidRPr="00B80BDC" w:rsidRDefault="00BD4879" w:rsidP="00BD4879">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Silahlı mücadeleye hukuki ve siyasi yön veren ve yeni kurulan Türk Devleti’ni uluslararası toplulukta tanıtan Lozan Barış Antlaşması ile Türk Devrimi’nin aksiyon aşaması tamamlanmıştır. Bundan sonra yıkılan, bozulan eski düzenin yerine yenisi kurulmaya başlanmış, sosyal hayatın icaplarına uygun olarak topluma ve yeni kurulan devlete şekil ve düzen verilmeye çalışılmıştır.</w:t>
      </w:r>
    </w:p>
    <w:p w:rsidR="00BD4879" w:rsidRPr="00B80BDC" w:rsidRDefault="00BD4879" w:rsidP="00BD4879">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spacing w:val="-2"/>
          <w:lang w:eastAsia="tr-TR"/>
        </w:rPr>
        <w:t xml:space="preserve">Türk Devrim sürecinde gerçekleştirilen yenilikler aslında birer araçtı. Siyaset, hukuk, eğitim-kültür, ekonomik ve gündelik hayatta yapılan düzenlemelerle, Türk toplumunun çağdaş uygarlıklar düzeyine yükseltilmesine çalışılmıştır. Eski köhnemiş kurumların yerini yenilerinin alması ve çağın gereklerine uygun bir hayat tarzının kurulması bu anlamda elzemdi. Ama asıl amaç Türk Devleti’nin varlığını ve bağımsızlığını korumaktı. </w:t>
      </w:r>
    </w:p>
    <w:p w:rsidR="00BD4879" w:rsidRPr="00B80BDC" w:rsidRDefault="00BD4879" w:rsidP="00BD4879">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b/>
          <w:lang w:eastAsia="tr-TR"/>
        </w:rPr>
        <w:t>Hukuk Alanında Yapılan Devrimler</w:t>
      </w:r>
    </w:p>
    <w:p w:rsidR="00BD4879" w:rsidRDefault="00BD4879" w:rsidP="00BD4879">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spacing w:val="-2"/>
          <w:lang w:eastAsia="tr-TR"/>
        </w:rPr>
        <w:t xml:space="preserve">Hukuk alanında yapılan önemli düzenlemelerden biri 1926’da yeni bir </w:t>
      </w:r>
      <w:r w:rsidRPr="00B80BDC">
        <w:rPr>
          <w:rFonts w:ascii="Times New Roman" w:eastAsia="Times New Roman" w:hAnsi="Times New Roman" w:cs="Times New Roman"/>
          <w:bCs/>
          <w:lang w:eastAsia="tr-TR"/>
        </w:rPr>
        <w:t>medeni kanunun kabul edilmesidir. İsviçre’den alınan yeni Medeni Kanun, Türk toplum hayatına birçok çağdaş düzenleme getirmiştir. Eğitimde, çalışma hayatında ve hukuk alanında kadın-erkek eşitliğinin sağlanması yolunda önemli bir adım atılmıştır. Resmi nikâhla evlenme ve boşanma devlet denetimine alınmış, erkeğin birden fazla kadınla evlenmesi yasaklanarak kadına da boşanma hakkı tanınmıştır. Miras konusunda kız ve erkek çocuklar arasında eşitlik sağlanmış ve Türk aile yapısı modern bir görüntüye ulaştırılmıştır.</w:t>
      </w:r>
    </w:p>
    <w:p w:rsidR="00BD4879" w:rsidRPr="00B80BDC" w:rsidRDefault="00BD4879" w:rsidP="00BD4879">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Medeni Kanunun kabulünden kısa bir süre sonra, İsviçre’nin </w:t>
      </w:r>
      <w:proofErr w:type="spellStart"/>
      <w:r w:rsidRPr="00B80BDC">
        <w:rPr>
          <w:rFonts w:ascii="Times New Roman" w:eastAsia="Times New Roman" w:hAnsi="Times New Roman" w:cs="Times New Roman"/>
          <w:bCs/>
          <w:lang w:eastAsia="tr-TR"/>
        </w:rPr>
        <w:t>Neuchatel</w:t>
      </w:r>
      <w:proofErr w:type="spellEnd"/>
      <w:r w:rsidRPr="00B80BDC">
        <w:rPr>
          <w:rFonts w:ascii="Times New Roman" w:eastAsia="Times New Roman" w:hAnsi="Times New Roman" w:cs="Times New Roman"/>
          <w:bCs/>
          <w:lang w:eastAsia="tr-TR"/>
        </w:rPr>
        <w:t xml:space="preserve"> kantonundan alınan </w:t>
      </w:r>
      <w:r w:rsidRPr="00B80BDC">
        <w:rPr>
          <w:rFonts w:ascii="Times New Roman" w:eastAsia="Times New Roman" w:hAnsi="Times New Roman" w:cs="Times New Roman"/>
          <w:bCs/>
          <w:iCs/>
          <w:lang w:eastAsia="tr-TR"/>
        </w:rPr>
        <w:t>Borçlar Hukuku</w:t>
      </w:r>
      <w:r w:rsidRPr="00B80BDC">
        <w:rPr>
          <w:rFonts w:ascii="Times New Roman" w:eastAsia="Times New Roman" w:hAnsi="Times New Roman" w:cs="Times New Roman"/>
          <w:bCs/>
          <w:lang w:eastAsia="tr-TR"/>
        </w:rPr>
        <w:t xml:space="preserve">, 8 Mayıs 1926’da Meclis’te kabul edilmiş ve bir süre sonra da yürürlüğe girmiştir. Hukuk alanında başlatılan devrimler, yalnızca Medeni Kanun ile sınırlı kalmamış, belirli aralıklarla yapılan düzenlemelerle bu alanda görülen boşlukların doldurulmasına çalışılmıştır. Nitekim Türk Medeni Kanunu’ndan sonra, </w:t>
      </w:r>
      <w:r w:rsidRPr="00B80BDC">
        <w:rPr>
          <w:rFonts w:ascii="Times New Roman" w:eastAsia="Times New Roman" w:hAnsi="Times New Roman" w:cs="Times New Roman"/>
          <w:bCs/>
          <w:i/>
          <w:iCs/>
          <w:lang w:eastAsia="tr-TR"/>
        </w:rPr>
        <w:t>Ceza Kanunu’</w:t>
      </w:r>
      <w:r w:rsidRPr="00B80BDC">
        <w:rPr>
          <w:rFonts w:ascii="Times New Roman" w:eastAsia="Times New Roman" w:hAnsi="Times New Roman" w:cs="Times New Roman"/>
          <w:bCs/>
          <w:lang w:eastAsia="tr-TR"/>
        </w:rPr>
        <w:t>nun 1 Mart 1926’da İtalya’dan;</w:t>
      </w:r>
      <w:r w:rsidRPr="00B80BDC">
        <w:rPr>
          <w:rFonts w:ascii="Times New Roman" w:eastAsia="Times New Roman" w:hAnsi="Times New Roman" w:cs="Times New Roman"/>
          <w:bCs/>
          <w:vertAlign w:val="superscript"/>
          <w:lang w:eastAsia="tr-TR"/>
        </w:rPr>
        <w:footnoteReference w:id="1"/>
      </w:r>
      <w:r w:rsidRPr="00B80BDC">
        <w:rPr>
          <w:rFonts w:ascii="Times New Roman" w:eastAsia="Times New Roman" w:hAnsi="Times New Roman" w:cs="Times New Roman"/>
          <w:bCs/>
          <w:i/>
          <w:iCs/>
          <w:lang w:eastAsia="tr-TR"/>
        </w:rPr>
        <w:t>Ticaret Kanunu’</w:t>
      </w:r>
      <w:r w:rsidRPr="00B80BDC">
        <w:rPr>
          <w:rFonts w:ascii="Times New Roman" w:eastAsia="Times New Roman" w:hAnsi="Times New Roman" w:cs="Times New Roman"/>
          <w:bCs/>
          <w:lang w:eastAsia="tr-TR"/>
        </w:rPr>
        <w:t>nun 10 Mayıs 1926’da Almanya’dan alınmasıyla</w:t>
      </w:r>
      <w:r w:rsidRPr="00B80BDC">
        <w:rPr>
          <w:rFonts w:ascii="Times New Roman" w:eastAsia="Times New Roman" w:hAnsi="Times New Roman" w:cs="Times New Roman"/>
          <w:bCs/>
          <w:vertAlign w:val="superscript"/>
          <w:lang w:eastAsia="tr-TR"/>
        </w:rPr>
        <w:footnoteReference w:id="2"/>
      </w:r>
      <w:r w:rsidRPr="00B80BDC">
        <w:rPr>
          <w:rFonts w:ascii="Times New Roman" w:eastAsia="Times New Roman" w:hAnsi="Times New Roman" w:cs="Times New Roman"/>
          <w:bCs/>
          <w:lang w:eastAsia="tr-TR"/>
        </w:rPr>
        <w:t xml:space="preserve"> Türk Hukuk Sistemi tam anlamıyla laik ve çağdaş esaslara oturtulmuştur.</w:t>
      </w:r>
      <w:r w:rsidRPr="00B80BDC">
        <w:rPr>
          <w:rFonts w:ascii="Times New Roman" w:eastAsia="Times New Roman" w:hAnsi="Times New Roman" w:cs="Times New Roman"/>
          <w:bCs/>
          <w:vertAlign w:val="superscript"/>
          <w:lang w:eastAsia="tr-TR"/>
        </w:rPr>
        <w:footnoteReference w:id="3"/>
      </w:r>
      <w:r w:rsidRPr="00B80BDC">
        <w:rPr>
          <w:rFonts w:ascii="Times New Roman" w:eastAsia="Times New Roman" w:hAnsi="Times New Roman" w:cs="Times New Roman"/>
          <w:bCs/>
          <w:lang w:eastAsia="tr-TR"/>
        </w:rPr>
        <w:t xml:space="preserve"> Daha sonraki dönemlerde Hukuk Muhakemeleri Usulü Kanunu, Ceza Muhakemeleri Usulü Kanunu, İcra ve İflas Kanunu, Deniz Ticareti Kanunu kabul edilerek yürürlüğe sokulmuştur.</w:t>
      </w:r>
      <w:r w:rsidRPr="00B80BDC">
        <w:rPr>
          <w:rFonts w:ascii="Times New Roman" w:eastAsia="Times New Roman" w:hAnsi="Times New Roman" w:cs="Times New Roman"/>
          <w:bCs/>
          <w:vertAlign w:val="superscript"/>
          <w:lang w:eastAsia="tr-TR"/>
        </w:rPr>
        <w:footnoteReference w:id="4"/>
      </w:r>
      <w:r w:rsidRPr="00B80BDC">
        <w:rPr>
          <w:rFonts w:ascii="Times New Roman" w:eastAsia="Times New Roman" w:hAnsi="Times New Roman" w:cs="Times New Roman"/>
          <w:bCs/>
          <w:lang w:eastAsia="tr-TR"/>
        </w:rPr>
        <w:t xml:space="preserve"> Böylece 1930 yılına gelindiğinde Türk Hukuk Sistemi topyekûn değiştirilmiş ve modern esaslar üzerinde yeniden inşa edilmiştir. Hukuktaki dağınıklığa son verilmiş, laik ve ihtiyaçları karşılayabilecek bir sistem oluşturulmuştur. </w:t>
      </w:r>
    </w:p>
    <w:p w:rsidR="00A04EC4" w:rsidRDefault="00BD4879" w:rsidP="00BD4879">
      <w:pPr>
        <w:spacing w:before="120" w:after="240" w:line="240" w:lineRule="auto"/>
        <w:ind w:firstLine="709"/>
        <w:jc w:val="both"/>
      </w:pPr>
      <w:r w:rsidRPr="00B80BDC">
        <w:rPr>
          <w:rFonts w:ascii="Times New Roman" w:eastAsia="Times New Roman" w:hAnsi="Times New Roman" w:cs="Times New Roman"/>
          <w:lang w:eastAsia="tr-TR"/>
        </w:rPr>
        <w:t>Tarihsel gelişim içinde kadın-erkek eşitliği, toplumsal bir sorun olarak günümüze kadar sürüp gelmiştir. Toplumlarda kadının statüsü ve hakları sürekli gündemde kalmış ve dünya genelinde kadın haklarının kazanılması çok zahmetli ve uzun bir süreçte gerçekleşmiştir. Türk Medeni Kanunu, Türk kadınına çalışma hayatında, eğitimde, mirasta, aile hayatında ve toplumsal ilişkilerde çeşitli haklar kazandırmıştır.</w:t>
      </w:r>
      <w:r w:rsidRPr="00B80BDC">
        <w:rPr>
          <w:rFonts w:ascii="Times New Roman" w:eastAsia="Times New Roman" w:hAnsi="Times New Roman" w:cs="Times New Roman"/>
          <w:vertAlign w:val="superscript"/>
          <w:lang w:eastAsia="tr-TR"/>
        </w:rPr>
        <w:footnoteReference w:id="5"/>
      </w:r>
      <w:r w:rsidRPr="00B80BDC">
        <w:rPr>
          <w:rFonts w:ascii="Times New Roman" w:eastAsia="Times New Roman" w:hAnsi="Times New Roman" w:cs="Times New Roman"/>
          <w:lang w:eastAsia="tr-TR"/>
        </w:rPr>
        <w:t xml:space="preserve"> Ancak o günlerde siyasal haklar konusunda herhangi bir düzenleme yapılmamıştır. Bu, Atatürk’ün temel ilkelerinden biri olan halkçılık ilkesine aykırı olan eşitsizliği gidermek için, ilk olarak 3 Nisan1930 yılında çıkarılan Belediyeler Yasası gereğince Türk kadınlarına belediye seçimlerine katılma hakkı ve 26 Ekim 1933’te Köy Kanunu’nun değiştirilmesi ile de muhtar ve ihtiyar heyetlerine </w:t>
      </w:r>
      <w:r w:rsidRPr="00B80BDC">
        <w:rPr>
          <w:rFonts w:ascii="Times New Roman" w:eastAsia="Times New Roman" w:hAnsi="Times New Roman" w:cs="Times New Roman"/>
          <w:lang w:eastAsia="tr-TR"/>
        </w:rPr>
        <w:lastRenderedPageBreak/>
        <w:t>seçme ve seçilme hakkı tanınmıştır. Ancak, Türk kadının asıl siyasal hakkını aldığı en önemli gelişme, 5 Aralık 1934’te milletvekili seçme ve seçilme hakkının yasalaşarak kabul edilmesi olacaktır.</w:t>
      </w:r>
      <w:r w:rsidRPr="00B80BDC">
        <w:rPr>
          <w:rFonts w:ascii="Times New Roman" w:eastAsia="Times New Roman" w:hAnsi="Times New Roman" w:cs="Times New Roman"/>
          <w:vertAlign w:val="superscript"/>
          <w:lang w:eastAsia="tr-TR"/>
        </w:rPr>
        <w:footnoteReference w:id="6"/>
      </w:r>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F6" w:rsidRDefault="00CB73F6" w:rsidP="00BD4879">
      <w:pPr>
        <w:spacing w:after="0" w:line="240" w:lineRule="auto"/>
      </w:pPr>
      <w:r>
        <w:separator/>
      </w:r>
    </w:p>
  </w:endnote>
  <w:endnote w:type="continuationSeparator" w:id="0">
    <w:p w:rsidR="00CB73F6" w:rsidRDefault="00CB73F6" w:rsidP="00BD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F6" w:rsidRDefault="00CB73F6" w:rsidP="00BD4879">
      <w:pPr>
        <w:spacing w:after="0" w:line="240" w:lineRule="auto"/>
      </w:pPr>
      <w:r>
        <w:separator/>
      </w:r>
    </w:p>
  </w:footnote>
  <w:footnote w:type="continuationSeparator" w:id="0">
    <w:p w:rsidR="00CB73F6" w:rsidRDefault="00CB73F6" w:rsidP="00BD4879">
      <w:pPr>
        <w:spacing w:after="0" w:line="240" w:lineRule="auto"/>
      </w:pPr>
      <w:r>
        <w:continuationSeparator/>
      </w:r>
    </w:p>
  </w:footnote>
  <w:footnote w:id="1">
    <w:p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w:t>
      </w:r>
      <w:proofErr w:type="spellStart"/>
      <w:r w:rsidRPr="00FB7208">
        <w:rPr>
          <w:b/>
          <w:bCs/>
          <w:sz w:val="18"/>
          <w:szCs w:val="18"/>
        </w:rPr>
        <w:t>A.g.e</w:t>
      </w:r>
      <w:proofErr w:type="spellEnd"/>
      <w:r w:rsidRPr="00FB7208">
        <w:rPr>
          <w:b/>
          <w:bCs/>
          <w:sz w:val="18"/>
          <w:szCs w:val="18"/>
        </w:rPr>
        <w:t>.</w:t>
      </w:r>
      <w:r w:rsidRPr="00FB7208">
        <w:rPr>
          <w:sz w:val="18"/>
          <w:szCs w:val="18"/>
        </w:rPr>
        <w:t>, s. 199-200.</w:t>
      </w:r>
    </w:p>
  </w:footnote>
  <w:footnote w:id="2">
    <w:p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b/>
          <w:bCs/>
          <w:sz w:val="18"/>
          <w:szCs w:val="18"/>
        </w:rPr>
        <w:t>A.g.e</w:t>
      </w:r>
      <w:proofErr w:type="spellEnd"/>
      <w:r w:rsidRPr="00FB7208">
        <w:rPr>
          <w:b/>
          <w:bCs/>
          <w:sz w:val="18"/>
          <w:szCs w:val="18"/>
        </w:rPr>
        <w:t>.</w:t>
      </w:r>
      <w:r w:rsidRPr="00FB7208">
        <w:rPr>
          <w:sz w:val="18"/>
          <w:szCs w:val="18"/>
        </w:rPr>
        <w:t>, s. 203-205.</w:t>
      </w:r>
    </w:p>
  </w:footnote>
  <w:footnote w:id="3">
    <w:p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Bige</w:t>
      </w:r>
      <w:proofErr w:type="spellEnd"/>
      <w:r w:rsidRPr="00FB7208">
        <w:rPr>
          <w:sz w:val="18"/>
          <w:szCs w:val="18"/>
        </w:rPr>
        <w:t xml:space="preserve"> Sükan Yavuz, “</w:t>
      </w:r>
      <w:r w:rsidRPr="00FB7208">
        <w:rPr>
          <w:i/>
          <w:iCs/>
          <w:sz w:val="18"/>
          <w:szCs w:val="18"/>
        </w:rPr>
        <w:t>Atatürk Devrimi ile Sosyal Yaşamın Çağdaşlaştırılmasına İlişkin Fransız Değerlendirmeleri</w:t>
      </w:r>
      <w:r w:rsidRPr="00FB7208">
        <w:rPr>
          <w:sz w:val="18"/>
          <w:szCs w:val="18"/>
        </w:rPr>
        <w:t xml:space="preserve">”, </w:t>
      </w:r>
      <w:r w:rsidRPr="00FB7208">
        <w:rPr>
          <w:b/>
          <w:bCs/>
          <w:sz w:val="18"/>
          <w:szCs w:val="18"/>
        </w:rPr>
        <w:t>Atatürk Yolu</w:t>
      </w:r>
      <w:r w:rsidRPr="00FB7208">
        <w:rPr>
          <w:sz w:val="18"/>
          <w:szCs w:val="18"/>
        </w:rPr>
        <w:t>, C. IV, No. 15, (Mayıs 1995), s. 30.</w:t>
      </w:r>
    </w:p>
  </w:footnote>
  <w:footnote w:id="4">
    <w:p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Bozkurt, </w:t>
      </w:r>
      <w:proofErr w:type="spellStart"/>
      <w:r w:rsidRPr="00FB7208">
        <w:rPr>
          <w:b/>
          <w:bCs/>
          <w:sz w:val="18"/>
          <w:szCs w:val="18"/>
        </w:rPr>
        <w:t>a.g.e</w:t>
      </w:r>
      <w:proofErr w:type="spellEnd"/>
      <w:r w:rsidRPr="00FB7208">
        <w:rPr>
          <w:b/>
          <w:bCs/>
          <w:sz w:val="18"/>
          <w:szCs w:val="18"/>
        </w:rPr>
        <w:t>.</w:t>
      </w:r>
      <w:r w:rsidRPr="00FB7208">
        <w:rPr>
          <w:sz w:val="18"/>
          <w:szCs w:val="18"/>
        </w:rPr>
        <w:t>, 206-207.</w:t>
      </w:r>
    </w:p>
  </w:footnote>
  <w:footnote w:id="5">
    <w:p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Fethi Gözler, </w:t>
      </w:r>
      <w:r w:rsidRPr="00FB7208">
        <w:rPr>
          <w:b/>
          <w:bCs/>
          <w:sz w:val="18"/>
          <w:szCs w:val="18"/>
        </w:rPr>
        <w:t>Atatürk İnkılapları-Türk İnkılabı</w:t>
      </w:r>
      <w:r w:rsidRPr="00FB7208">
        <w:rPr>
          <w:sz w:val="18"/>
          <w:szCs w:val="18"/>
        </w:rPr>
        <w:t>, 2. B., İnkılap Kitabevi, İstanbul, 1983,  s. 122-126.</w:t>
      </w:r>
    </w:p>
  </w:footnote>
  <w:footnote w:id="6">
    <w:p w:rsidR="00BD4879" w:rsidRPr="00FB7208" w:rsidRDefault="00BD4879" w:rsidP="00BD4879">
      <w:pPr>
        <w:pStyle w:val="DipnotMetni"/>
        <w:ind w:left="284" w:hanging="284"/>
        <w:jc w:val="both"/>
        <w:rPr>
          <w:sz w:val="18"/>
          <w:szCs w:val="18"/>
        </w:rPr>
      </w:pPr>
      <w:r w:rsidRPr="00FB7208">
        <w:rPr>
          <w:rStyle w:val="DipnotBavurusu"/>
          <w:sz w:val="18"/>
          <w:szCs w:val="18"/>
        </w:rPr>
        <w:footnoteRef/>
      </w:r>
      <w:r w:rsidRPr="00FB7208">
        <w:rPr>
          <w:sz w:val="18"/>
          <w:szCs w:val="18"/>
        </w:rPr>
        <w:t xml:space="preserve"> Afet İnan, </w:t>
      </w:r>
      <w:r w:rsidRPr="00FB7208">
        <w:rPr>
          <w:b/>
          <w:bCs/>
          <w:sz w:val="18"/>
          <w:szCs w:val="18"/>
        </w:rPr>
        <w:t>Medeni Bilgiler</w:t>
      </w:r>
      <w:r w:rsidRPr="00FB7208">
        <w:rPr>
          <w:sz w:val="18"/>
          <w:szCs w:val="18"/>
        </w:rPr>
        <w:t>, TTK Yay., Ankara, 1969, s. 89–93.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2B"/>
    <w:rsid w:val="004719FF"/>
    <w:rsid w:val="004A77B3"/>
    <w:rsid w:val="00744A06"/>
    <w:rsid w:val="00A04EC4"/>
    <w:rsid w:val="00A07D2B"/>
    <w:rsid w:val="00BD4879"/>
    <w:rsid w:val="00CB7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CC7DA-C87A-4CD4-BE55-0C962C21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8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BD4879"/>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BD4879"/>
    <w:rPr>
      <w:sz w:val="20"/>
      <w:szCs w:val="20"/>
    </w:rPr>
  </w:style>
  <w:style w:type="character" w:customStyle="1" w:styleId="DipnotMetniChar1">
    <w:name w:val="Dipnot Metni Char1"/>
    <w:aliases w:val="Char Char"/>
    <w:link w:val="DipnotMetni"/>
    <w:uiPriority w:val="99"/>
    <w:rsid w:val="00BD4879"/>
    <w:rPr>
      <w:rFonts w:ascii="Times New Roman" w:eastAsia="Calibri" w:hAnsi="Times New Roman" w:cs="Times New Roman"/>
      <w:sz w:val="20"/>
      <w:szCs w:val="20"/>
      <w:lang w:val="x-none" w:eastAsia="x-none"/>
    </w:rPr>
  </w:style>
  <w:style w:type="character" w:styleId="DipnotBavurusu">
    <w:name w:val="footnote reference"/>
    <w:uiPriority w:val="99"/>
    <w:qFormat/>
    <w:rsid w:val="00BD48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inkilap1</cp:lastModifiedBy>
  <cp:revision>3</cp:revision>
  <dcterms:created xsi:type="dcterms:W3CDTF">2017-11-15T19:41:00Z</dcterms:created>
  <dcterms:modified xsi:type="dcterms:W3CDTF">2017-11-16T13:02:00Z</dcterms:modified>
</cp:coreProperties>
</file>