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E42" w:rsidRPr="00B80BDC" w:rsidRDefault="00530E42" w:rsidP="00530E42">
      <w:pPr>
        <w:spacing w:after="0" w:line="240" w:lineRule="auto"/>
        <w:ind w:left="567" w:hanging="567"/>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ANKARA ÜNİVERSİTESİ TÜRK İNKILAP TARİHİ ENSTİTÜSÜ</w:t>
      </w:r>
    </w:p>
    <w:p w:rsidR="00530E42" w:rsidRPr="00B80BDC" w:rsidRDefault="00530E42" w:rsidP="00530E42">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“ATATÜRK İLKELERİ VE İNKILAP TARİHİ” </w:t>
      </w:r>
    </w:p>
    <w:p w:rsidR="00530E42" w:rsidRDefault="00530E42" w:rsidP="00530E42">
      <w:pPr>
        <w:spacing w:after="24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ATA-10</w:t>
      </w:r>
      <w:r w:rsidRPr="00B80BDC">
        <w:rPr>
          <w:rFonts w:ascii="Times New Roman" w:eastAsia="Calibri" w:hAnsi="Times New Roman" w:cs="Times New Roman"/>
          <w:b/>
          <w:lang w:eastAsia="x-none"/>
        </w:rPr>
        <w:t>2</w:t>
      </w:r>
      <w:r w:rsidRPr="00B80BDC">
        <w:rPr>
          <w:rFonts w:ascii="Times New Roman" w:eastAsia="Calibri" w:hAnsi="Times New Roman" w:cs="Times New Roman"/>
          <w:b/>
          <w:lang w:val="x-none" w:eastAsia="x-none"/>
        </w:rPr>
        <w:t xml:space="preserve"> DERS İÇERİKLERİ</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530E42" w:rsidRPr="00B80BDC" w:rsidTr="000B0BFF">
        <w:trPr>
          <w:trHeight w:val="30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530E42" w:rsidRPr="00B80BDC" w:rsidRDefault="00530E42" w:rsidP="000B0BFF">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7</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0E42" w:rsidRPr="00B80BDC" w:rsidRDefault="00530E42" w:rsidP="000B0BFF">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Ekonomik Alandaki Gelişmeler; Son Dönem Osmanlı Ekonomisi; Türkiye İktisat Kongresi ve Sonuçları; Cumhuriyetin İlk Yıllarında Ekonomik Faaliyetler; Devletçilik Uygulamasına Geçiş</w:t>
            </w:r>
          </w:p>
        </w:tc>
      </w:tr>
      <w:tr w:rsidR="00530E42" w:rsidRPr="00B80BDC" w:rsidTr="000B0BFF">
        <w:trPr>
          <w:trHeight w:val="690"/>
        </w:trPr>
        <w:tc>
          <w:tcPr>
            <w:tcW w:w="1408" w:type="dxa"/>
            <w:vMerge/>
            <w:tcBorders>
              <w:top w:val="single" w:sz="4" w:space="0" w:color="auto"/>
              <w:left w:val="single" w:sz="8" w:space="0" w:color="auto"/>
              <w:bottom w:val="single" w:sz="4" w:space="0" w:color="auto"/>
              <w:right w:val="single" w:sz="4" w:space="0" w:color="auto"/>
            </w:tcBorders>
            <w:vAlign w:val="center"/>
            <w:hideMark/>
          </w:tcPr>
          <w:p w:rsidR="00530E42" w:rsidRPr="00B80BDC" w:rsidRDefault="00530E42" w:rsidP="000B0BFF">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530E42" w:rsidRPr="00B80BDC" w:rsidRDefault="00530E42" w:rsidP="000B0BFF">
            <w:pPr>
              <w:spacing w:after="0" w:line="240" w:lineRule="auto"/>
              <w:jc w:val="center"/>
              <w:rPr>
                <w:rFonts w:ascii="Times New Roman" w:eastAsia="Times New Roman" w:hAnsi="Times New Roman" w:cs="Times New Roman"/>
                <w:b/>
                <w:color w:val="FF0000"/>
                <w:lang w:eastAsia="tr-TR"/>
              </w:rPr>
            </w:pPr>
          </w:p>
        </w:tc>
      </w:tr>
    </w:tbl>
    <w:p w:rsidR="00530E42" w:rsidRPr="00B80BDC" w:rsidRDefault="00530E42" w:rsidP="00530E42">
      <w:pPr>
        <w:spacing w:before="120" w:after="12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Ekonomik Alandaki Gelişmeler</w:t>
      </w:r>
    </w:p>
    <w:p w:rsidR="00530E42" w:rsidRPr="00B80BDC" w:rsidRDefault="00530E42" w:rsidP="00530E42">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 xml:space="preserve">Milli Mücadele’nin yorgun ve yıpranmış olarak çıkan yeni Türk Devleti’nin önemli ekonomik sorunları vardır. Hem bu sorunları aşabilmek hem de </w:t>
      </w:r>
      <w:r w:rsidRPr="00B80BDC">
        <w:rPr>
          <w:rFonts w:ascii="Times New Roman" w:eastAsia="Times New Roman" w:hAnsi="Times New Roman" w:cs="Times New Roman"/>
          <w:bCs/>
          <w:spacing w:val="-2"/>
          <w:lang w:eastAsia="tr-TR"/>
        </w:rPr>
        <w:t xml:space="preserve">Osmanlı Devleti’nden alınan olumsuz ekonomik mirasın kötü izlerini silmek için, yurdun düşman işgalinden kurtarılmasından hemen sonra, Cumhuriyetin ilanı bile beklenmeden 17 Şubat 1923’te İzmir’de </w:t>
      </w:r>
      <w:r w:rsidRPr="00B80BDC">
        <w:rPr>
          <w:rFonts w:ascii="Times New Roman" w:eastAsia="Times New Roman" w:hAnsi="Times New Roman" w:cs="Times New Roman"/>
          <w:bCs/>
          <w:iCs/>
          <w:spacing w:val="-2"/>
          <w:lang w:eastAsia="tr-TR"/>
        </w:rPr>
        <w:t>Türkiye İktisat Kongresi</w:t>
      </w:r>
      <w:r w:rsidRPr="00B80BDC">
        <w:rPr>
          <w:rFonts w:ascii="Times New Roman" w:eastAsia="Times New Roman" w:hAnsi="Times New Roman" w:cs="Times New Roman"/>
          <w:bCs/>
          <w:spacing w:val="-2"/>
          <w:lang w:eastAsia="tr-TR"/>
        </w:rPr>
        <w:t xml:space="preserve"> toplanmıştır.</w:t>
      </w:r>
      <w:r w:rsidRPr="00B80BDC">
        <w:rPr>
          <w:rFonts w:ascii="Times New Roman" w:eastAsia="Times New Roman" w:hAnsi="Times New Roman" w:cs="Times New Roman"/>
          <w:bCs/>
          <w:spacing w:val="-2"/>
          <w:vertAlign w:val="superscript"/>
          <w:lang w:eastAsia="tr-TR"/>
        </w:rPr>
        <w:footnoteReference w:id="1"/>
      </w:r>
      <w:r w:rsidRPr="00B80BDC">
        <w:rPr>
          <w:rFonts w:ascii="Times New Roman" w:eastAsia="Times New Roman" w:hAnsi="Times New Roman" w:cs="Times New Roman"/>
          <w:bCs/>
          <w:lang w:eastAsia="tr-TR"/>
        </w:rPr>
        <w:t xml:space="preserve"> Türk tarihinde ekonomik sorunların tartışıldığı bu ilk kongrede, günlerce yapılan tartışmalar sonucunda </w:t>
      </w:r>
      <w:proofErr w:type="spellStart"/>
      <w:r w:rsidRPr="00B80BDC">
        <w:rPr>
          <w:rFonts w:ascii="Times New Roman" w:eastAsia="Times New Roman" w:hAnsi="Times New Roman" w:cs="Times New Roman"/>
          <w:bCs/>
          <w:iCs/>
          <w:lang w:eastAsia="tr-TR"/>
        </w:rPr>
        <w:t>Misâk</w:t>
      </w:r>
      <w:proofErr w:type="spellEnd"/>
      <w:r w:rsidRPr="00B80BDC">
        <w:rPr>
          <w:rFonts w:ascii="Times New Roman" w:eastAsia="Times New Roman" w:hAnsi="Times New Roman" w:cs="Times New Roman"/>
          <w:bCs/>
          <w:iCs/>
          <w:lang w:eastAsia="tr-TR"/>
        </w:rPr>
        <w:t>-ı İktisâdi</w:t>
      </w:r>
      <w:r w:rsidRPr="00B80BDC">
        <w:rPr>
          <w:rFonts w:ascii="Times New Roman" w:eastAsia="Times New Roman" w:hAnsi="Times New Roman" w:cs="Times New Roman"/>
          <w:bCs/>
          <w:lang w:eastAsia="tr-TR"/>
        </w:rPr>
        <w:t xml:space="preserve"> adı verilen ekonomik ant kabul edilmiştir.</w:t>
      </w:r>
      <w:r w:rsidRPr="00B80BDC">
        <w:rPr>
          <w:rFonts w:ascii="Times New Roman" w:eastAsia="Times New Roman" w:hAnsi="Times New Roman" w:cs="Times New Roman"/>
          <w:bCs/>
          <w:vertAlign w:val="superscript"/>
          <w:lang w:eastAsia="tr-TR"/>
        </w:rPr>
        <w:footnoteReference w:id="2"/>
      </w:r>
      <w:r w:rsidRPr="00B80BDC">
        <w:rPr>
          <w:rFonts w:ascii="Times New Roman" w:eastAsia="Times New Roman" w:hAnsi="Times New Roman" w:cs="Times New Roman"/>
          <w:bCs/>
          <w:lang w:eastAsia="tr-TR"/>
        </w:rPr>
        <w:t xml:space="preserve"> </w:t>
      </w:r>
    </w:p>
    <w:p w:rsidR="00530E42" w:rsidRPr="00B80BDC" w:rsidRDefault="00530E42" w:rsidP="00530E42">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Bu ant, büyük devletlerin ekonomik boyunduruğu altına girmeden, öz kaynaklarla bağımsız kalarak kalkınmayı öngörmekteydi. Ayrıca yabancı sermayeye karşı olunmadığı, Türk kanunlarına uymak koşuluyla yabancı sermayenin gelebileceği ortaya konulmuştur. Türkiye İktisat Kongresi’nin Lozan Konferansı’nın kesilme döneminde toplanmış olması rastlantı değildi. Kongre, Lozan’daki görüşmelerle doğrudan ilgilidir. Tam bağımsızlık vurgusu yapılarak kapitülasyonların kaldırılması konusundaki kararlık bir kez daha dile getirilmiş, yabancı sermayeye karşı olunmadığının ifade edilmesiyle de sosyalist ekonominin benimsenmeyeceği açıklaması yapılmıştır.</w:t>
      </w:r>
      <w:r w:rsidRPr="00B80BDC">
        <w:rPr>
          <w:rFonts w:ascii="Times New Roman" w:eastAsia="Times New Roman" w:hAnsi="Times New Roman" w:cs="Times New Roman"/>
          <w:bCs/>
          <w:vertAlign w:val="superscript"/>
          <w:lang w:eastAsia="tr-TR"/>
        </w:rPr>
        <w:footnoteReference w:id="3"/>
      </w:r>
      <w:r w:rsidRPr="00B80BDC">
        <w:rPr>
          <w:rFonts w:ascii="Times New Roman" w:eastAsia="Times New Roman" w:hAnsi="Times New Roman" w:cs="Times New Roman"/>
          <w:bCs/>
          <w:lang w:eastAsia="tr-TR"/>
        </w:rPr>
        <w:t xml:space="preserve"> </w:t>
      </w:r>
    </w:p>
    <w:p w:rsidR="00530E42" w:rsidRPr="00B80BDC" w:rsidRDefault="00530E42" w:rsidP="00530E42">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 xml:space="preserve">Bu arada devlet destekli ve özel sektör ağırlıklı bir liberal ekonomik politikanın izleneceği de karara bağlanmıştır.  Ancak 1923 yılından 1929’a kadar bazı başarılar elde edilmişse de, ekonomide beklenen gelişme tam olarak sağlanamamıştır. Özel girişimin de kendinden beklenenleri yerine getirememesi ve 1929’da dünyada bir ekonomik bunalımının yaşanması, devletin kalkınma çabalarına doğrudan katılmasını zorunlu kılmıştır. Tarım, ticaret, endüstri, ulaşım ve bayındırlık işleri bu alandaki gelişmelerin birbirine bağlı olması nedeniyle bir bütün olarak ele alınmıştır. </w:t>
      </w:r>
      <w:r w:rsidRPr="00B80BDC">
        <w:rPr>
          <w:rFonts w:ascii="Times New Roman" w:eastAsia="Times New Roman" w:hAnsi="Times New Roman" w:cs="Times New Roman"/>
          <w:bCs/>
          <w:spacing w:val="-2"/>
          <w:lang w:eastAsia="tr-TR"/>
        </w:rPr>
        <w:t xml:space="preserve">1931’de devletin ekonomiye daha fazla müdahale etmesini öngören </w:t>
      </w:r>
      <w:r w:rsidRPr="00B80BDC">
        <w:rPr>
          <w:rFonts w:ascii="Times New Roman" w:eastAsia="Times New Roman" w:hAnsi="Times New Roman" w:cs="Times New Roman"/>
          <w:bCs/>
          <w:iCs/>
          <w:spacing w:val="-2"/>
          <w:lang w:eastAsia="tr-TR"/>
        </w:rPr>
        <w:t>Mutedil Devletçi Politika</w:t>
      </w:r>
      <w:r w:rsidRPr="00B80BDC">
        <w:rPr>
          <w:rFonts w:ascii="Times New Roman" w:eastAsia="Times New Roman" w:hAnsi="Times New Roman" w:cs="Times New Roman"/>
          <w:bCs/>
          <w:spacing w:val="-2"/>
          <w:lang w:eastAsia="tr-TR"/>
        </w:rPr>
        <w:t xml:space="preserve"> ile Türkiye’nin hızla kalkındığı ve sanayileşmenin ön plana çıktığı yeni bir dönem başlıyordu. Atatürk, sanayileşmeyi devlet öncülüğünde beş yıllık planlara bağlamış ve “</w:t>
      </w:r>
      <w:r w:rsidRPr="00B80BDC">
        <w:rPr>
          <w:rFonts w:ascii="Times New Roman" w:eastAsia="Times New Roman" w:hAnsi="Times New Roman" w:cs="Times New Roman"/>
          <w:bCs/>
          <w:iCs/>
          <w:spacing w:val="-2"/>
          <w:lang w:eastAsia="tr-TR"/>
        </w:rPr>
        <w:t>milli ekonominin temeli tarımdır</w:t>
      </w:r>
      <w:r w:rsidRPr="00B80BDC">
        <w:rPr>
          <w:rFonts w:ascii="Times New Roman" w:eastAsia="Times New Roman" w:hAnsi="Times New Roman" w:cs="Times New Roman"/>
          <w:bCs/>
          <w:spacing w:val="-2"/>
          <w:lang w:eastAsia="tr-TR"/>
        </w:rPr>
        <w:t>” ilkesini yürürlükte tutmuştur. Atatürk bu ilke ile topraksız çiftçi bırakmamak, iş araçlarını artırmak, iyileştirmek ve korumak, özel tedbirler alarak ucuz ve iyi ürün elde etmek amacını gütmüştür.</w:t>
      </w:r>
      <w:r w:rsidRPr="00B80BDC">
        <w:rPr>
          <w:rFonts w:ascii="Times New Roman" w:eastAsia="Times New Roman" w:hAnsi="Times New Roman" w:cs="Times New Roman"/>
          <w:bCs/>
          <w:spacing w:val="-2"/>
          <w:vertAlign w:val="superscript"/>
          <w:lang w:eastAsia="tr-TR"/>
        </w:rPr>
        <w:footnoteReference w:id="4"/>
      </w:r>
      <w:r w:rsidRPr="00B80BDC">
        <w:rPr>
          <w:rFonts w:ascii="Times New Roman" w:eastAsia="Times New Roman" w:hAnsi="Times New Roman" w:cs="Times New Roman"/>
          <w:bCs/>
          <w:spacing w:val="-2"/>
          <w:lang w:eastAsia="tr-TR"/>
        </w:rPr>
        <w:t xml:space="preserve"> </w:t>
      </w:r>
      <w:r w:rsidRPr="00B80BDC">
        <w:rPr>
          <w:rFonts w:ascii="Times New Roman" w:eastAsia="Times New Roman" w:hAnsi="Times New Roman" w:cs="Times New Roman"/>
          <w:bCs/>
          <w:lang w:eastAsia="tr-TR"/>
        </w:rPr>
        <w:t xml:space="preserve">1930-1933 yılları arasında sanayiyi hızlandıracak kurumsal yapılanmaya gidilmiş, 3 Haziran 1933’te </w:t>
      </w:r>
      <w:r w:rsidRPr="00B80BDC">
        <w:rPr>
          <w:rFonts w:ascii="Times New Roman" w:eastAsia="Times New Roman" w:hAnsi="Times New Roman" w:cs="Times New Roman"/>
          <w:bCs/>
          <w:iCs/>
          <w:lang w:eastAsia="tr-TR"/>
        </w:rPr>
        <w:t>Sümerbank</w:t>
      </w:r>
      <w:r w:rsidRPr="00B80BDC">
        <w:rPr>
          <w:rFonts w:ascii="Times New Roman" w:eastAsia="Times New Roman" w:hAnsi="Times New Roman" w:cs="Times New Roman"/>
          <w:bCs/>
          <w:lang w:eastAsia="tr-TR"/>
        </w:rPr>
        <w:t xml:space="preserve"> kurulmuştur. Böylece, planlı kalkınma modelinin uygulanması aşamasına geçilmiş, yerli ve yabancı uzmanlardan oluşan bir kurulun hazırlamış olduğu ve devlet öncülüğünde sanayi kesiminde yapılacak yatırımların ana ilkelerini belirleyen rapor, 1934 yılında beş yıl süreyle yürürlüğe konmuştur.</w:t>
      </w:r>
      <w:r w:rsidRPr="00B80BDC">
        <w:rPr>
          <w:rFonts w:ascii="Times New Roman" w:eastAsia="Times New Roman" w:hAnsi="Times New Roman" w:cs="Times New Roman"/>
          <w:bCs/>
          <w:vertAlign w:val="superscript"/>
          <w:lang w:eastAsia="tr-TR"/>
        </w:rPr>
        <w:footnoteReference w:id="5"/>
      </w:r>
      <w:r w:rsidRPr="00B80BDC">
        <w:rPr>
          <w:rFonts w:ascii="Times New Roman" w:eastAsia="Times New Roman" w:hAnsi="Times New Roman" w:cs="Times New Roman"/>
          <w:bCs/>
          <w:lang w:eastAsia="tr-TR"/>
        </w:rPr>
        <w:t xml:space="preserve"> </w:t>
      </w:r>
    </w:p>
    <w:p w:rsidR="00530E42" w:rsidRPr="00B80BDC" w:rsidRDefault="00530E42" w:rsidP="00530E42">
      <w:pPr>
        <w:spacing w:after="120" w:line="240" w:lineRule="auto"/>
        <w:ind w:firstLine="709"/>
        <w:jc w:val="both"/>
        <w:rPr>
          <w:rFonts w:ascii="Times New Roman" w:eastAsia="Times New Roman" w:hAnsi="Times New Roman" w:cs="Times New Roman"/>
          <w:bCs/>
          <w:spacing w:val="-2"/>
          <w:lang w:eastAsia="tr-TR"/>
        </w:rPr>
      </w:pPr>
      <w:r w:rsidRPr="00B80BDC">
        <w:rPr>
          <w:rFonts w:ascii="Times New Roman" w:eastAsia="Times New Roman" w:hAnsi="Times New Roman" w:cs="Times New Roman"/>
          <w:bCs/>
          <w:iCs/>
          <w:spacing w:val="-2"/>
          <w:lang w:eastAsia="tr-TR"/>
        </w:rPr>
        <w:t>Birinci Beş Yıllık Sanayi Planı</w:t>
      </w:r>
      <w:r w:rsidRPr="00B80BDC">
        <w:rPr>
          <w:rFonts w:ascii="Times New Roman" w:eastAsia="Times New Roman" w:hAnsi="Times New Roman" w:cs="Times New Roman"/>
          <w:bCs/>
          <w:spacing w:val="-2"/>
          <w:lang w:eastAsia="tr-TR"/>
        </w:rPr>
        <w:t xml:space="preserve">, temel hammaddeleri yurtiçinde üretilen ve üretilebilecek sınaî tesislere, büyük sermaye ve ileri teknoloji gerektiren projelere, kuruluş kapasitelerinin iç tüketimi karşılayabilecek düzeyde tutulmasına öncelik vermiştir. Adı geçen dönemde 20 fabrikanın kurulması öngörülmüş ve dokuma, cam, kimya ve kâğıt sanayinde çok sayıda fabrika açılmıştır. Bu fabrikaların işletme ve yönetimleri Sümerbank’a verilmiş, madencilik ve enerji işlerini yönetmekle </w:t>
      </w:r>
      <w:r w:rsidRPr="00B80BDC">
        <w:rPr>
          <w:rFonts w:ascii="Times New Roman" w:eastAsia="Times New Roman" w:hAnsi="Times New Roman" w:cs="Times New Roman"/>
          <w:bCs/>
          <w:iCs/>
          <w:spacing w:val="-2"/>
          <w:lang w:eastAsia="tr-TR"/>
        </w:rPr>
        <w:t>Etibank</w:t>
      </w:r>
      <w:r w:rsidRPr="00B80BDC">
        <w:rPr>
          <w:rFonts w:ascii="Times New Roman" w:eastAsia="Times New Roman" w:hAnsi="Times New Roman" w:cs="Times New Roman"/>
          <w:bCs/>
          <w:spacing w:val="-2"/>
          <w:lang w:eastAsia="tr-TR"/>
        </w:rPr>
        <w:t xml:space="preserve"> ve </w:t>
      </w:r>
      <w:r w:rsidRPr="00B80BDC">
        <w:rPr>
          <w:rFonts w:ascii="Times New Roman" w:eastAsia="Times New Roman" w:hAnsi="Times New Roman" w:cs="Times New Roman"/>
          <w:bCs/>
          <w:iCs/>
          <w:spacing w:val="-2"/>
          <w:lang w:eastAsia="tr-TR"/>
        </w:rPr>
        <w:t>Maden Tetkik Arama Enstitüsü</w:t>
      </w:r>
      <w:r w:rsidRPr="00B80BDC">
        <w:rPr>
          <w:rFonts w:ascii="Times New Roman" w:eastAsia="Times New Roman" w:hAnsi="Times New Roman" w:cs="Times New Roman"/>
          <w:bCs/>
          <w:spacing w:val="-2"/>
          <w:lang w:eastAsia="tr-TR"/>
        </w:rPr>
        <w:t xml:space="preserve"> görevlendirilmiştir. </w:t>
      </w:r>
    </w:p>
    <w:p w:rsidR="00530E42" w:rsidRDefault="00530E42" w:rsidP="00530E42">
      <w:pPr>
        <w:spacing w:after="36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 xml:space="preserve">Birinci Beş Yıllık Sanayi Planı’nın başarılı olması üzerine 1936 yılında </w:t>
      </w:r>
      <w:r w:rsidRPr="00B80BDC">
        <w:rPr>
          <w:rFonts w:ascii="Times New Roman" w:eastAsia="Times New Roman" w:hAnsi="Times New Roman" w:cs="Times New Roman"/>
          <w:bCs/>
          <w:iCs/>
          <w:lang w:eastAsia="tr-TR"/>
        </w:rPr>
        <w:t>İkinci Beş Yıllık Sanayi Planı</w:t>
      </w:r>
      <w:r w:rsidRPr="00B80BDC">
        <w:rPr>
          <w:rFonts w:ascii="Times New Roman" w:eastAsia="Times New Roman" w:hAnsi="Times New Roman" w:cs="Times New Roman"/>
          <w:bCs/>
          <w:lang w:eastAsia="tr-TR"/>
        </w:rPr>
        <w:t xml:space="preserve">’nın hazırlık çalışmalarına başlanmıştır. Birincisinden daha geniş olarak hazırlanan planla, kurulacak tesis ve fabrikaların yüzü geçeceği öngörülmüş ve bu amaçla İktisat Bakanı Celal Bayar </w:t>
      </w:r>
      <w:r w:rsidRPr="00B80BDC">
        <w:rPr>
          <w:rFonts w:ascii="Times New Roman" w:eastAsia="Times New Roman" w:hAnsi="Times New Roman" w:cs="Times New Roman"/>
          <w:bCs/>
          <w:lang w:eastAsia="tr-TR"/>
        </w:rPr>
        <w:lastRenderedPageBreak/>
        <w:t xml:space="preserve">başkanlığında bir </w:t>
      </w:r>
      <w:r w:rsidRPr="00B80BDC">
        <w:rPr>
          <w:rFonts w:ascii="Times New Roman" w:eastAsia="Times New Roman" w:hAnsi="Times New Roman" w:cs="Times New Roman"/>
          <w:bCs/>
          <w:iCs/>
          <w:lang w:eastAsia="tr-TR"/>
        </w:rPr>
        <w:t>Sanayi Kongresi</w:t>
      </w:r>
      <w:r w:rsidRPr="00B80BDC">
        <w:rPr>
          <w:rFonts w:ascii="Times New Roman" w:eastAsia="Times New Roman" w:hAnsi="Times New Roman" w:cs="Times New Roman"/>
          <w:bCs/>
          <w:lang w:eastAsia="tr-TR"/>
        </w:rPr>
        <w:t xml:space="preserve"> toplanmıştır. Ancak İkinci Dünya Savaşı’nın çıkması, bu ikinci planın yürürlüğe girmesini engellemiştir. </w:t>
      </w:r>
    </w:p>
    <w:p w:rsidR="00A04EC4" w:rsidRDefault="00A04EC4">
      <w:bookmarkStart w:id="0" w:name="_GoBack"/>
      <w:bookmarkEnd w:id="0"/>
    </w:p>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6A2" w:rsidRDefault="003626A2" w:rsidP="00530E42">
      <w:pPr>
        <w:spacing w:after="0" w:line="240" w:lineRule="auto"/>
      </w:pPr>
      <w:r>
        <w:separator/>
      </w:r>
    </w:p>
  </w:endnote>
  <w:endnote w:type="continuationSeparator" w:id="0">
    <w:p w:rsidR="003626A2" w:rsidRDefault="003626A2" w:rsidP="0053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6A2" w:rsidRDefault="003626A2" w:rsidP="00530E42">
      <w:pPr>
        <w:spacing w:after="0" w:line="240" w:lineRule="auto"/>
      </w:pPr>
      <w:r>
        <w:separator/>
      </w:r>
    </w:p>
  </w:footnote>
  <w:footnote w:type="continuationSeparator" w:id="0">
    <w:p w:rsidR="003626A2" w:rsidRDefault="003626A2" w:rsidP="00530E42">
      <w:pPr>
        <w:spacing w:after="0" w:line="240" w:lineRule="auto"/>
      </w:pPr>
      <w:r>
        <w:continuationSeparator/>
      </w:r>
    </w:p>
  </w:footnote>
  <w:footnote w:id="1">
    <w:p w:rsidR="00530E42" w:rsidRPr="00C70942" w:rsidRDefault="00530E42" w:rsidP="00530E42">
      <w:pPr>
        <w:spacing w:after="0" w:line="240" w:lineRule="auto"/>
        <w:ind w:left="284" w:hanging="284"/>
        <w:jc w:val="both"/>
        <w:rPr>
          <w:rFonts w:ascii="Times New Roman" w:hAnsi="Times New Roman" w:cs="Times New Roman"/>
          <w:sz w:val="18"/>
          <w:szCs w:val="18"/>
        </w:rPr>
      </w:pPr>
      <w:r w:rsidRPr="00C70942">
        <w:rPr>
          <w:rStyle w:val="DipnotBavurusu"/>
          <w:rFonts w:ascii="Times New Roman" w:hAnsi="Times New Roman"/>
          <w:sz w:val="18"/>
          <w:szCs w:val="18"/>
        </w:rPr>
        <w:footnoteRef/>
      </w:r>
      <w:r w:rsidRPr="00C70942">
        <w:rPr>
          <w:rFonts w:ascii="Times New Roman" w:hAnsi="Times New Roman" w:cs="Times New Roman"/>
          <w:sz w:val="18"/>
          <w:szCs w:val="18"/>
        </w:rPr>
        <w:t xml:space="preserve"> A. Gündüz </w:t>
      </w:r>
      <w:proofErr w:type="spellStart"/>
      <w:r w:rsidRPr="00C70942">
        <w:rPr>
          <w:rFonts w:ascii="Times New Roman" w:hAnsi="Times New Roman" w:cs="Times New Roman"/>
          <w:sz w:val="18"/>
          <w:szCs w:val="18"/>
        </w:rPr>
        <w:t>Ökçün</w:t>
      </w:r>
      <w:proofErr w:type="spellEnd"/>
      <w:r w:rsidRPr="00C70942">
        <w:rPr>
          <w:rFonts w:ascii="Times New Roman" w:hAnsi="Times New Roman" w:cs="Times New Roman"/>
          <w:sz w:val="18"/>
          <w:szCs w:val="18"/>
        </w:rPr>
        <w:t xml:space="preserve">, </w:t>
      </w:r>
      <w:r w:rsidRPr="00C70942">
        <w:rPr>
          <w:rFonts w:ascii="Times New Roman" w:hAnsi="Times New Roman" w:cs="Times New Roman"/>
          <w:b/>
          <w:bCs/>
          <w:sz w:val="18"/>
          <w:szCs w:val="18"/>
        </w:rPr>
        <w:t>Türkiye İktisat Kongresi 1923-İzmir</w:t>
      </w:r>
      <w:r w:rsidRPr="00C70942">
        <w:rPr>
          <w:rFonts w:ascii="Times New Roman" w:hAnsi="Times New Roman" w:cs="Times New Roman"/>
          <w:sz w:val="18"/>
          <w:szCs w:val="18"/>
        </w:rPr>
        <w:t>, 4. B</w:t>
      </w:r>
      <w:proofErr w:type="gramStart"/>
      <w:r w:rsidRPr="00C70942">
        <w:rPr>
          <w:rFonts w:ascii="Times New Roman" w:hAnsi="Times New Roman" w:cs="Times New Roman"/>
          <w:sz w:val="18"/>
          <w:szCs w:val="18"/>
        </w:rPr>
        <w:t>.,</w:t>
      </w:r>
      <w:proofErr w:type="gramEnd"/>
      <w:r w:rsidRPr="00C70942">
        <w:rPr>
          <w:rFonts w:ascii="Times New Roman" w:hAnsi="Times New Roman" w:cs="Times New Roman"/>
          <w:sz w:val="18"/>
          <w:szCs w:val="18"/>
        </w:rPr>
        <w:t xml:space="preserve"> Sermaye Piyasası Kurulu Yay., Ankara, 1997, s. 1-2.</w:t>
      </w:r>
    </w:p>
  </w:footnote>
  <w:footnote w:id="2">
    <w:p w:rsidR="00530E42" w:rsidRPr="00C70942" w:rsidRDefault="00530E42" w:rsidP="00530E42">
      <w:pPr>
        <w:spacing w:after="0" w:line="240" w:lineRule="auto"/>
        <w:ind w:left="284" w:hanging="284"/>
        <w:jc w:val="both"/>
        <w:rPr>
          <w:rFonts w:ascii="Times New Roman" w:hAnsi="Times New Roman" w:cs="Times New Roman"/>
          <w:sz w:val="18"/>
          <w:szCs w:val="18"/>
        </w:rPr>
      </w:pPr>
      <w:r w:rsidRPr="00C70942">
        <w:rPr>
          <w:rStyle w:val="DipnotBavurusu"/>
          <w:rFonts w:ascii="Times New Roman" w:hAnsi="Times New Roman"/>
          <w:sz w:val="18"/>
          <w:szCs w:val="18"/>
        </w:rPr>
        <w:footnoteRef/>
      </w:r>
      <w:r w:rsidRPr="00C70942">
        <w:rPr>
          <w:rFonts w:ascii="Times New Roman" w:hAnsi="Times New Roman" w:cs="Times New Roman"/>
          <w:sz w:val="18"/>
          <w:szCs w:val="18"/>
        </w:rPr>
        <w:t xml:space="preserve"> </w:t>
      </w:r>
      <w:proofErr w:type="spellStart"/>
      <w:r w:rsidRPr="00C70942">
        <w:rPr>
          <w:rFonts w:ascii="Times New Roman" w:hAnsi="Times New Roman" w:cs="Times New Roman"/>
          <w:sz w:val="18"/>
          <w:szCs w:val="18"/>
        </w:rPr>
        <w:t>Ökçün</w:t>
      </w:r>
      <w:proofErr w:type="spellEnd"/>
      <w:r w:rsidRPr="00C70942">
        <w:rPr>
          <w:rFonts w:ascii="Times New Roman" w:hAnsi="Times New Roman" w:cs="Times New Roman"/>
          <w:sz w:val="18"/>
          <w:szCs w:val="18"/>
        </w:rPr>
        <w:t xml:space="preserve">, </w:t>
      </w:r>
      <w:proofErr w:type="spellStart"/>
      <w:r w:rsidRPr="00C70942">
        <w:rPr>
          <w:rFonts w:ascii="Times New Roman" w:hAnsi="Times New Roman" w:cs="Times New Roman"/>
          <w:b/>
          <w:bCs/>
          <w:sz w:val="18"/>
          <w:szCs w:val="18"/>
        </w:rPr>
        <w:t>a.g.e</w:t>
      </w:r>
      <w:proofErr w:type="spellEnd"/>
      <w:proofErr w:type="gramStart"/>
      <w:r w:rsidRPr="00C70942">
        <w:rPr>
          <w:rFonts w:ascii="Times New Roman" w:hAnsi="Times New Roman" w:cs="Times New Roman"/>
          <w:b/>
          <w:bCs/>
          <w:sz w:val="18"/>
          <w:szCs w:val="18"/>
        </w:rPr>
        <w:t>.</w:t>
      </w:r>
      <w:r w:rsidRPr="00C70942">
        <w:rPr>
          <w:rFonts w:ascii="Times New Roman" w:hAnsi="Times New Roman" w:cs="Times New Roman"/>
          <w:sz w:val="18"/>
          <w:szCs w:val="18"/>
        </w:rPr>
        <w:t>,</w:t>
      </w:r>
      <w:proofErr w:type="gramEnd"/>
      <w:r w:rsidRPr="00C70942">
        <w:rPr>
          <w:rFonts w:ascii="Times New Roman" w:hAnsi="Times New Roman" w:cs="Times New Roman"/>
          <w:sz w:val="18"/>
          <w:szCs w:val="18"/>
        </w:rPr>
        <w:t xml:space="preserve"> s. 323–325.</w:t>
      </w:r>
    </w:p>
  </w:footnote>
  <w:footnote w:id="3">
    <w:p w:rsidR="00530E42" w:rsidRPr="00C70942" w:rsidRDefault="00530E42" w:rsidP="00530E42">
      <w:pPr>
        <w:pStyle w:val="DipnotMetni"/>
        <w:ind w:left="284" w:hanging="284"/>
        <w:jc w:val="both"/>
        <w:rPr>
          <w:sz w:val="18"/>
          <w:szCs w:val="18"/>
        </w:rPr>
      </w:pPr>
      <w:r w:rsidRPr="00C70942">
        <w:rPr>
          <w:rStyle w:val="DipnotBavurusu"/>
          <w:sz w:val="18"/>
          <w:szCs w:val="18"/>
        </w:rPr>
        <w:footnoteRef/>
      </w:r>
      <w:r w:rsidRPr="00C70942">
        <w:rPr>
          <w:sz w:val="18"/>
          <w:szCs w:val="18"/>
        </w:rPr>
        <w:t xml:space="preserve"> </w:t>
      </w:r>
      <w:r w:rsidRPr="00C70942">
        <w:rPr>
          <w:sz w:val="18"/>
          <w:szCs w:val="18"/>
        </w:rPr>
        <w:t xml:space="preserve">Şahin, </w:t>
      </w:r>
      <w:proofErr w:type="spellStart"/>
      <w:r w:rsidRPr="00C70942">
        <w:rPr>
          <w:b/>
          <w:bCs/>
          <w:sz w:val="18"/>
          <w:szCs w:val="18"/>
        </w:rPr>
        <w:t>a.g.e</w:t>
      </w:r>
      <w:proofErr w:type="spellEnd"/>
      <w:r w:rsidRPr="00C70942">
        <w:rPr>
          <w:b/>
          <w:bCs/>
          <w:sz w:val="18"/>
          <w:szCs w:val="18"/>
        </w:rPr>
        <w:t>.</w:t>
      </w:r>
      <w:r w:rsidRPr="00C70942">
        <w:rPr>
          <w:sz w:val="18"/>
          <w:szCs w:val="18"/>
        </w:rPr>
        <w:t>, s. 33-34.</w:t>
      </w:r>
    </w:p>
  </w:footnote>
  <w:footnote w:id="4">
    <w:p w:rsidR="00530E42" w:rsidRPr="00FB7208" w:rsidRDefault="00530E42" w:rsidP="00530E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 xml:space="preserve">Tokgöz, </w:t>
      </w:r>
      <w:proofErr w:type="spellStart"/>
      <w:r w:rsidRPr="00FB7208">
        <w:rPr>
          <w:b/>
          <w:bCs/>
          <w:sz w:val="18"/>
          <w:szCs w:val="18"/>
        </w:rPr>
        <w:t>a.g.e</w:t>
      </w:r>
      <w:proofErr w:type="spellEnd"/>
      <w:r w:rsidRPr="00FB7208">
        <w:rPr>
          <w:b/>
          <w:bCs/>
          <w:sz w:val="18"/>
          <w:szCs w:val="18"/>
        </w:rPr>
        <w:t>.</w:t>
      </w:r>
      <w:r w:rsidRPr="00FB7208">
        <w:rPr>
          <w:sz w:val="18"/>
          <w:szCs w:val="18"/>
        </w:rPr>
        <w:t>, s. 74.</w:t>
      </w:r>
    </w:p>
  </w:footnote>
  <w:footnote w:id="5">
    <w:p w:rsidR="00530E42" w:rsidRPr="00FB7208" w:rsidRDefault="00530E42" w:rsidP="00530E4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proofErr w:type="spellStart"/>
      <w:r w:rsidRPr="00FB7208">
        <w:rPr>
          <w:sz w:val="18"/>
          <w:szCs w:val="18"/>
        </w:rPr>
        <w:t>Boratav</w:t>
      </w:r>
      <w:proofErr w:type="spellEnd"/>
      <w:r w:rsidRPr="00FB7208">
        <w:rPr>
          <w:sz w:val="18"/>
          <w:szCs w:val="18"/>
        </w:rPr>
        <w:t xml:space="preserve">, </w:t>
      </w:r>
      <w:proofErr w:type="spellStart"/>
      <w:r w:rsidRPr="00FB7208">
        <w:rPr>
          <w:b/>
          <w:bCs/>
          <w:sz w:val="18"/>
          <w:szCs w:val="18"/>
        </w:rPr>
        <w:t>a.g.e</w:t>
      </w:r>
      <w:proofErr w:type="spellEnd"/>
      <w:r w:rsidRPr="00FB7208">
        <w:rPr>
          <w:b/>
          <w:bCs/>
          <w:sz w:val="18"/>
          <w:szCs w:val="18"/>
        </w:rPr>
        <w:t>.</w:t>
      </w:r>
      <w:r w:rsidRPr="00FB7208">
        <w:rPr>
          <w:sz w:val="18"/>
          <w:szCs w:val="18"/>
        </w:rPr>
        <w:t>, s. 65-66.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C6"/>
    <w:rsid w:val="003626A2"/>
    <w:rsid w:val="00530E42"/>
    <w:rsid w:val="00744A06"/>
    <w:rsid w:val="00A04EC4"/>
    <w:rsid w:val="00C40B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47DDD-43A9-4DE6-85DA-45FB2BB4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530E42"/>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530E42"/>
    <w:rPr>
      <w:sz w:val="20"/>
      <w:szCs w:val="20"/>
    </w:rPr>
  </w:style>
  <w:style w:type="character" w:customStyle="1" w:styleId="DipnotMetniChar1">
    <w:name w:val="Dipnot Metni Char1"/>
    <w:aliases w:val="Char Char1"/>
    <w:link w:val="DipnotMetni"/>
    <w:uiPriority w:val="99"/>
    <w:rsid w:val="00530E42"/>
    <w:rPr>
      <w:rFonts w:ascii="Times New Roman" w:eastAsia="Calibri" w:hAnsi="Times New Roman" w:cs="Times New Roman"/>
      <w:sz w:val="20"/>
      <w:szCs w:val="20"/>
      <w:lang w:val="x-none" w:eastAsia="x-none"/>
    </w:rPr>
  </w:style>
  <w:style w:type="character" w:styleId="DipnotBavurusu">
    <w:name w:val="footnote reference"/>
    <w:uiPriority w:val="99"/>
    <w:qFormat/>
    <w:rsid w:val="00530E4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2017-11-15T19:42:00Z</dcterms:created>
  <dcterms:modified xsi:type="dcterms:W3CDTF">2017-11-15T19:42:00Z</dcterms:modified>
</cp:coreProperties>
</file>