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0B" w:rsidRPr="001D3CD5" w:rsidRDefault="00F25BB5">
      <w:pPr>
        <w:rPr>
          <w:rFonts w:ascii="Arial" w:hAnsi="Arial" w:cs="Arial"/>
          <w:b/>
          <w:sz w:val="20"/>
          <w:szCs w:val="20"/>
        </w:rPr>
      </w:pPr>
      <w:r w:rsidRPr="001D3CD5">
        <w:rPr>
          <w:rFonts w:ascii="Arial" w:hAnsi="Arial" w:cs="Arial"/>
          <w:b/>
          <w:sz w:val="20"/>
          <w:szCs w:val="20"/>
        </w:rPr>
        <w:t>Konu 7:</w:t>
      </w:r>
    </w:p>
    <w:p w:rsidR="00F25BB5" w:rsidRPr="001D3CD5" w:rsidRDefault="00F25BB5" w:rsidP="009C5096">
      <w:pPr>
        <w:jc w:val="both"/>
        <w:rPr>
          <w:rFonts w:ascii="Arial" w:hAnsi="Arial" w:cs="Arial"/>
          <w:b/>
          <w:sz w:val="20"/>
          <w:szCs w:val="20"/>
        </w:rPr>
      </w:pPr>
      <w:r w:rsidRPr="001D3CD5">
        <w:rPr>
          <w:rFonts w:ascii="Arial" w:hAnsi="Arial" w:cs="Arial"/>
          <w:b/>
          <w:sz w:val="20"/>
          <w:szCs w:val="20"/>
        </w:rPr>
        <w:t>Türkiye’de Metroloji ile İlgili Organizasyonlar</w:t>
      </w:r>
      <w:r w:rsidR="00402D9C">
        <w:rPr>
          <w:rStyle w:val="DipnotBavurusu"/>
          <w:rFonts w:ascii="Arial" w:hAnsi="Arial" w:cs="Arial"/>
          <w:b/>
          <w:sz w:val="20"/>
          <w:szCs w:val="20"/>
        </w:rPr>
        <w:footnoteReference w:id="1"/>
      </w:r>
    </w:p>
    <w:p w:rsidR="00A63B01" w:rsidRPr="001D3CD5" w:rsidRDefault="009C5096" w:rsidP="009C5096">
      <w:pPr>
        <w:pStyle w:val="GvdeMetni"/>
        <w:spacing w:before="1" w:line="264" w:lineRule="auto"/>
        <w:ind w:right="-567"/>
        <w:jc w:val="both"/>
        <w:rPr>
          <w:color w:val="231F20"/>
          <w:spacing w:val="-4"/>
          <w:sz w:val="20"/>
          <w:szCs w:val="20"/>
          <w:lang w:val="tr-TR"/>
        </w:rPr>
      </w:pPr>
      <w:r w:rsidRPr="001D3CD5">
        <w:rPr>
          <w:color w:val="231F20"/>
          <w:spacing w:val="-3"/>
          <w:sz w:val="20"/>
          <w:szCs w:val="20"/>
          <w:lang w:val="tr-TR"/>
        </w:rPr>
        <w:t>Ü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lkemizde, </w:t>
      </w:r>
      <w:r w:rsidR="00A63B01" w:rsidRPr="001D3CD5">
        <w:rPr>
          <w:color w:val="231F20"/>
          <w:sz w:val="20"/>
          <w:szCs w:val="20"/>
          <w:lang w:val="tr-TR"/>
        </w:rPr>
        <w:t xml:space="preserve">TÜBITAK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Ulusal Metroloji Enstitüsü (UME) bilimsel metroloji, Metroloji </w:t>
      </w:r>
      <w:r w:rsidR="00A63B01" w:rsidRPr="001D3CD5">
        <w:rPr>
          <w:color w:val="231F20"/>
          <w:sz w:val="20"/>
          <w:szCs w:val="20"/>
          <w:lang w:val="tr-TR"/>
        </w:rPr>
        <w:t xml:space="preserve">ve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Standardizasyon </w:t>
      </w:r>
      <w:r w:rsidR="00A63B01" w:rsidRPr="001D3CD5">
        <w:rPr>
          <w:color w:val="231F20"/>
          <w:sz w:val="20"/>
          <w:szCs w:val="20"/>
          <w:lang w:val="tr-TR"/>
        </w:rPr>
        <w:t xml:space="preserve">Genel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>Müdürlü</w:t>
      </w:r>
      <w:r w:rsidR="00F9241B">
        <w:rPr>
          <w:color w:val="231F20"/>
          <w:spacing w:val="-3"/>
          <w:sz w:val="20"/>
          <w:szCs w:val="20"/>
          <w:lang w:val="tr-TR"/>
        </w:rPr>
        <w:t>ğ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ü (MSGM) yasal metroloji, </w:t>
      </w:r>
      <w:r w:rsidR="00A63B01" w:rsidRPr="001D3CD5">
        <w:rPr>
          <w:color w:val="231F20"/>
          <w:sz w:val="20"/>
          <w:szCs w:val="20"/>
          <w:lang w:val="tr-TR"/>
        </w:rPr>
        <w:t xml:space="preserve">Türk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Akreditasyon Kurumu  (TÜRKAK) akreditasyon ve </w:t>
      </w:r>
      <w:r w:rsidR="00A63B01" w:rsidRPr="001D3CD5">
        <w:rPr>
          <w:color w:val="231F20"/>
          <w:sz w:val="20"/>
          <w:szCs w:val="20"/>
          <w:lang w:val="tr-TR"/>
        </w:rPr>
        <w:t xml:space="preserve">Türk </w:t>
      </w:r>
      <w:proofErr w:type="spellStart"/>
      <w:r w:rsidR="00A63B01" w:rsidRPr="001D3CD5">
        <w:rPr>
          <w:color w:val="231F20"/>
          <w:spacing w:val="-3"/>
          <w:sz w:val="20"/>
          <w:szCs w:val="20"/>
          <w:lang w:val="tr-TR"/>
        </w:rPr>
        <w:t>Standardları</w:t>
      </w:r>
      <w:proofErr w:type="spellEnd"/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 Enstitüsü </w:t>
      </w:r>
      <w:r w:rsidR="00A63B01" w:rsidRPr="001D3CD5">
        <w:rPr>
          <w:color w:val="231F20"/>
          <w:sz w:val="20"/>
          <w:szCs w:val="20"/>
          <w:lang w:val="tr-TR"/>
        </w:rPr>
        <w:t xml:space="preserve">(TSE) ise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standardizasyon </w:t>
      </w:r>
      <w:r w:rsidR="00A63B01" w:rsidRPr="001D3CD5">
        <w:rPr>
          <w:color w:val="231F20"/>
          <w:sz w:val="20"/>
          <w:szCs w:val="20"/>
          <w:lang w:val="tr-TR"/>
        </w:rPr>
        <w:t xml:space="preserve">alanı için </w:t>
      </w:r>
      <w:r w:rsidR="00A63B01" w:rsidRPr="001D3CD5">
        <w:rPr>
          <w:color w:val="231F20"/>
          <w:spacing w:val="-3"/>
          <w:sz w:val="20"/>
          <w:szCs w:val="20"/>
          <w:lang w:val="tr-TR"/>
        </w:rPr>
        <w:t xml:space="preserve">görevlendirilmiş </w:t>
      </w:r>
      <w:r w:rsidR="00A63B01" w:rsidRPr="001D3CD5">
        <w:rPr>
          <w:color w:val="231F20"/>
          <w:sz w:val="20"/>
          <w:szCs w:val="20"/>
          <w:lang w:val="tr-TR"/>
        </w:rPr>
        <w:t>kamu</w:t>
      </w:r>
      <w:r w:rsidR="00A63B01" w:rsidRPr="001D3CD5">
        <w:rPr>
          <w:color w:val="231F20"/>
          <w:spacing w:val="-6"/>
          <w:sz w:val="20"/>
          <w:szCs w:val="20"/>
          <w:lang w:val="tr-TR"/>
        </w:rPr>
        <w:t xml:space="preserve"> </w:t>
      </w:r>
      <w:r w:rsidR="00A63B01" w:rsidRPr="001D3CD5">
        <w:rPr>
          <w:color w:val="231F20"/>
          <w:spacing w:val="-4"/>
          <w:sz w:val="20"/>
          <w:szCs w:val="20"/>
          <w:lang w:val="tr-TR"/>
        </w:rPr>
        <w:t>kurulumlarıdır.</w:t>
      </w:r>
    </w:p>
    <w:p w:rsidR="009C5096" w:rsidRPr="001D3CD5" w:rsidRDefault="009C5096" w:rsidP="009C5096">
      <w:pPr>
        <w:pStyle w:val="GvdeMetni"/>
        <w:spacing w:before="1" w:line="264" w:lineRule="auto"/>
        <w:ind w:right="-567"/>
        <w:jc w:val="both"/>
        <w:rPr>
          <w:sz w:val="20"/>
          <w:szCs w:val="20"/>
          <w:lang w:val="tr-TR"/>
        </w:rPr>
      </w:pPr>
    </w:p>
    <w:p w:rsidR="00A63B01" w:rsidRPr="001D3CD5" w:rsidRDefault="009C5096" w:rsidP="009C5096">
      <w:pPr>
        <w:ind w:right="-567"/>
        <w:jc w:val="both"/>
        <w:rPr>
          <w:rFonts w:ascii="Arial" w:hAnsi="Arial" w:cs="Arial"/>
          <w:color w:val="231F20"/>
          <w:sz w:val="20"/>
          <w:szCs w:val="20"/>
        </w:rPr>
      </w:pPr>
      <w:r w:rsidRPr="001D3CD5">
        <w:rPr>
          <w:rFonts w:ascii="Arial" w:hAnsi="Arial" w:cs="Arial"/>
          <w:color w:val="231F20"/>
          <w:sz w:val="20"/>
          <w:szCs w:val="20"/>
        </w:rPr>
        <w:t>Ü</w:t>
      </w:r>
      <w:r w:rsidR="00A63B01" w:rsidRPr="001D3CD5">
        <w:rPr>
          <w:rFonts w:ascii="Arial" w:hAnsi="Arial" w:cs="Arial"/>
          <w:color w:val="231F20"/>
          <w:sz w:val="20"/>
          <w:szCs w:val="20"/>
        </w:rPr>
        <w:t>lkemizde bilimsel metrolojiden sorumlu olan TÜBITAK UME, yasal metrolojiden sorumlu olan Metroloji ve Standardizasyon Genel Müdürlü</w:t>
      </w:r>
      <w:r w:rsidR="00F9241B">
        <w:rPr>
          <w:rFonts w:ascii="Arial" w:hAnsi="Arial" w:cs="Arial"/>
          <w:color w:val="231F20"/>
          <w:sz w:val="20"/>
          <w:szCs w:val="20"/>
        </w:rPr>
        <w:t>ğ</w:t>
      </w:r>
      <w:r w:rsidR="00A63B01" w:rsidRPr="001D3CD5">
        <w:rPr>
          <w:rFonts w:ascii="Arial" w:hAnsi="Arial" w:cs="Arial"/>
          <w:color w:val="231F20"/>
          <w:sz w:val="20"/>
          <w:szCs w:val="20"/>
        </w:rPr>
        <w:t xml:space="preserve">ü, endüstriyel metroloji sisteminin içinde yer alan </w:t>
      </w:r>
      <w:proofErr w:type="gramStart"/>
      <w:r w:rsidR="00A63B01" w:rsidRPr="001D3CD5">
        <w:rPr>
          <w:rFonts w:ascii="Arial" w:hAnsi="Arial" w:cs="Arial"/>
          <w:color w:val="231F20"/>
          <w:sz w:val="20"/>
          <w:szCs w:val="20"/>
        </w:rPr>
        <w:t>kalibrasyon</w:t>
      </w:r>
      <w:proofErr w:type="gramEnd"/>
      <w:r w:rsidR="00A63B01" w:rsidRPr="001D3CD5">
        <w:rPr>
          <w:rFonts w:ascii="Arial" w:hAnsi="Arial" w:cs="Arial"/>
          <w:color w:val="231F20"/>
          <w:sz w:val="20"/>
          <w:szCs w:val="20"/>
        </w:rPr>
        <w:t xml:space="preserve"> ve test laboratuvarların akreditasyonu da dahil akreditasyondan sorumlu olan TÜRKAK ve standardizasyondan sorumlu TSE’</w:t>
      </w:r>
      <w:r w:rsidRPr="001D3CD5">
        <w:rPr>
          <w:rFonts w:ascii="Arial" w:hAnsi="Arial" w:cs="Arial"/>
          <w:color w:val="231F20"/>
          <w:sz w:val="20"/>
          <w:szCs w:val="20"/>
        </w:rPr>
        <w:t>dir.</w:t>
      </w:r>
    </w:p>
    <w:p w:rsidR="00A63B01" w:rsidRPr="001D3CD5" w:rsidRDefault="00A63B01" w:rsidP="009C5096">
      <w:pPr>
        <w:ind w:right="-567"/>
        <w:jc w:val="both"/>
        <w:rPr>
          <w:rFonts w:ascii="Arial" w:hAnsi="Arial" w:cs="Arial"/>
          <w:b/>
          <w:color w:val="231F20"/>
          <w:sz w:val="20"/>
          <w:szCs w:val="20"/>
        </w:rPr>
      </w:pPr>
      <w:r w:rsidRPr="001D3CD5">
        <w:rPr>
          <w:rFonts w:ascii="Arial" w:hAnsi="Arial" w:cs="Arial"/>
          <w:b/>
          <w:color w:val="231F20"/>
          <w:sz w:val="20"/>
          <w:szCs w:val="20"/>
        </w:rPr>
        <w:t>TÜBITAK UME</w:t>
      </w:r>
    </w:p>
    <w:p w:rsidR="00A63B01" w:rsidRPr="001D3CD5" w:rsidRDefault="00A63B01" w:rsidP="009C5096">
      <w:pPr>
        <w:pStyle w:val="GvdeMetni"/>
        <w:spacing w:before="120" w:line="264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TÜBITAK </w:t>
      </w:r>
      <w:proofErr w:type="spellStart"/>
      <w:r w:rsidRPr="001D3CD5">
        <w:rPr>
          <w:color w:val="231F20"/>
          <w:sz w:val="20"/>
          <w:szCs w:val="20"/>
          <w:lang w:val="tr-TR"/>
        </w:rPr>
        <w:t>UME’nin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</w:t>
      </w:r>
      <w:proofErr w:type="gramStart"/>
      <w:r w:rsidRPr="001D3CD5">
        <w:rPr>
          <w:color w:val="231F20"/>
          <w:sz w:val="20"/>
          <w:szCs w:val="20"/>
          <w:lang w:val="tr-TR"/>
        </w:rPr>
        <w:t>misyonu</w:t>
      </w:r>
      <w:proofErr w:type="gramEnd"/>
      <w:r w:rsidRPr="001D3CD5">
        <w:rPr>
          <w:color w:val="231F20"/>
          <w:sz w:val="20"/>
          <w:szCs w:val="20"/>
          <w:lang w:val="tr-TR"/>
        </w:rPr>
        <w:t>, yaşam kalitesinin ve ülkemizin rekabet gücünün artmasına katkıda bulunmak amacıyla ölçüm birli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 ve güvenilirli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ini sa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lamak, bu do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rultuda uluslararası kabul gören referans ölçüm standartları ve teknikleri oluşturmak, geliştirmek, muhafaza etmek ve yaygınlaştırmaktır.</w:t>
      </w:r>
    </w:p>
    <w:p w:rsidR="00A63B01" w:rsidRPr="001D3CD5" w:rsidRDefault="00A63B01" w:rsidP="009C5096">
      <w:pPr>
        <w:pStyle w:val="GvdeMetni"/>
        <w:spacing w:before="120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Bu çerçevede TÜBITAK </w:t>
      </w:r>
      <w:proofErr w:type="spellStart"/>
      <w:r w:rsidRPr="001D3CD5">
        <w:rPr>
          <w:color w:val="231F20"/>
          <w:sz w:val="20"/>
          <w:szCs w:val="20"/>
          <w:lang w:val="tr-TR"/>
        </w:rPr>
        <w:t>UME’nin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amacı,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6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Ulusal ölçüm standartlarını oluşturmak ve uluslararası izlenebilirli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ini</w:t>
      </w:r>
      <w:r w:rsidRPr="001D3CD5">
        <w:rPr>
          <w:color w:val="231F20"/>
          <w:spacing w:val="-1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sa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lamak,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5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Ülkemizde yapılan ölçümleri güvence altına</w:t>
      </w:r>
      <w:r w:rsidRPr="001D3CD5">
        <w:rPr>
          <w:color w:val="231F20"/>
          <w:spacing w:val="-4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almak,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5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Türkiye'nin bilimsel ve teknolojik gelişimine katkıda</w:t>
      </w:r>
      <w:r w:rsidRPr="001D3CD5">
        <w:rPr>
          <w:color w:val="231F20"/>
          <w:spacing w:val="-5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bulunmak,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6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Ölçüm teknikleri, </w:t>
      </w:r>
      <w:proofErr w:type="gramStart"/>
      <w:r w:rsidRPr="001D3CD5">
        <w:rPr>
          <w:color w:val="231F20"/>
          <w:sz w:val="20"/>
          <w:szCs w:val="20"/>
          <w:lang w:val="tr-TR"/>
        </w:rPr>
        <w:t>kalibrasyon</w:t>
      </w:r>
      <w:proofErr w:type="gramEnd"/>
      <w:r w:rsidRPr="001D3CD5">
        <w:rPr>
          <w:color w:val="231F20"/>
          <w:sz w:val="20"/>
          <w:szCs w:val="20"/>
          <w:lang w:val="tr-TR"/>
        </w:rPr>
        <w:t xml:space="preserve"> yöntemleri ve temel metroloji alanlarında uluslararası düzeyde araştırma ve geliştirme çalışmalarına</w:t>
      </w:r>
      <w:r w:rsidRPr="001D3CD5">
        <w:rPr>
          <w:color w:val="231F20"/>
          <w:spacing w:val="-3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katılmak,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20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Yeni ölçüm teknikleri</w:t>
      </w:r>
      <w:r w:rsidRPr="001D3CD5">
        <w:rPr>
          <w:color w:val="231F20"/>
          <w:spacing w:val="-6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geliştirmek,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5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Metroloji konusunda uluslararası kuruluşlar nezdinde Türkiye'yi temsil</w:t>
      </w:r>
      <w:r w:rsidRPr="001D3CD5">
        <w:rPr>
          <w:color w:val="231F20"/>
          <w:spacing w:val="-13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etmek,</w:t>
      </w:r>
    </w:p>
    <w:p w:rsidR="00A63B01" w:rsidRPr="001D3CD5" w:rsidRDefault="00A63B01" w:rsidP="009C5096">
      <w:pPr>
        <w:pStyle w:val="ListeParagraf"/>
        <w:numPr>
          <w:ilvl w:val="0"/>
          <w:numId w:val="1"/>
        </w:numPr>
        <w:tabs>
          <w:tab w:val="left" w:pos="567"/>
        </w:tabs>
        <w:spacing w:before="146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Türk endüstriyel ürünlerinin kalitesini artırmak için gerekli Ulusal Metroloji Sistemi'nin kurulmasına katkıda</w:t>
      </w:r>
      <w:r w:rsidRPr="001D3CD5">
        <w:rPr>
          <w:color w:val="231F20"/>
          <w:spacing w:val="-1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bulunmak,</w:t>
      </w:r>
    </w:p>
    <w:p w:rsidR="00A63B01" w:rsidRPr="001D3CD5" w:rsidRDefault="00A63B01" w:rsidP="009C5096">
      <w:pPr>
        <w:ind w:right="-567"/>
        <w:jc w:val="both"/>
        <w:rPr>
          <w:rFonts w:ascii="Arial" w:hAnsi="Arial" w:cs="Arial"/>
          <w:color w:val="231F20"/>
          <w:sz w:val="20"/>
          <w:szCs w:val="20"/>
        </w:rPr>
      </w:pPr>
      <w:r w:rsidRPr="001D3CD5">
        <w:rPr>
          <w:rFonts w:ascii="Arial" w:hAnsi="Arial" w:cs="Arial"/>
          <w:color w:val="231F20"/>
          <w:sz w:val="20"/>
          <w:szCs w:val="20"/>
        </w:rPr>
        <w:t>Uluslararası ticarette karşılaşılan teknik engellerin aşılmasında ülke endüstrisine yardımcı olmaktır.</w:t>
      </w:r>
    </w:p>
    <w:p w:rsidR="009C5096" w:rsidRPr="001D3CD5" w:rsidRDefault="009C5096" w:rsidP="009C5096">
      <w:pPr>
        <w:ind w:right="-567"/>
        <w:jc w:val="both"/>
        <w:rPr>
          <w:rFonts w:ascii="Arial" w:hAnsi="Arial" w:cs="Arial"/>
          <w:color w:val="231F20"/>
          <w:sz w:val="20"/>
          <w:szCs w:val="20"/>
        </w:rPr>
      </w:pPr>
    </w:p>
    <w:p w:rsidR="00A63B01" w:rsidRPr="001D3CD5" w:rsidRDefault="00A63B01" w:rsidP="009C5096">
      <w:pPr>
        <w:pStyle w:val="Balk5"/>
        <w:tabs>
          <w:tab w:val="left" w:pos="733"/>
        </w:tabs>
        <w:ind w:left="0" w:right="-567"/>
        <w:jc w:val="both"/>
        <w:rPr>
          <w:color w:val="000000" w:themeColor="text1"/>
          <w:sz w:val="20"/>
          <w:szCs w:val="20"/>
          <w:lang w:val="tr-TR"/>
        </w:rPr>
      </w:pPr>
      <w:r w:rsidRPr="001D3CD5">
        <w:rPr>
          <w:color w:val="000000" w:themeColor="text1"/>
          <w:sz w:val="20"/>
          <w:szCs w:val="20"/>
          <w:lang w:val="tr-TR"/>
        </w:rPr>
        <w:t>METROLOJI VE STANDARDIZASYON GENEL</w:t>
      </w:r>
      <w:r w:rsidRPr="001D3CD5">
        <w:rPr>
          <w:color w:val="000000" w:themeColor="text1"/>
          <w:spacing w:val="-3"/>
          <w:sz w:val="20"/>
          <w:szCs w:val="20"/>
          <w:lang w:val="tr-TR"/>
        </w:rPr>
        <w:t xml:space="preserve"> </w:t>
      </w:r>
      <w:r w:rsidRPr="001D3CD5">
        <w:rPr>
          <w:color w:val="000000" w:themeColor="text1"/>
          <w:sz w:val="20"/>
          <w:szCs w:val="20"/>
          <w:lang w:val="tr-TR"/>
        </w:rPr>
        <w:t>MÜDÜRLÜŠÜ</w:t>
      </w:r>
    </w:p>
    <w:p w:rsidR="00A63B01" w:rsidRPr="001D3CD5" w:rsidRDefault="00A63B01" w:rsidP="009C5096">
      <w:pPr>
        <w:pStyle w:val="GvdeMetni"/>
        <w:spacing w:before="189" w:line="264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Ülkemizde yasal metroloji kapsamındaki faaliyetler, Bilim, Sanayi ve Teknoloji Bakanlı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ı’na ba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lı olan Metroloji ve Standardizasyon Genel Müdürlü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ü tarafından</w:t>
      </w:r>
      <w:r w:rsidRPr="001D3CD5">
        <w:rPr>
          <w:color w:val="231F20"/>
          <w:spacing w:val="-19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yürütülür.</w:t>
      </w:r>
    </w:p>
    <w:p w:rsidR="00A63B01" w:rsidRPr="001D3CD5" w:rsidRDefault="00A63B01" w:rsidP="009C5096">
      <w:pPr>
        <w:pStyle w:val="Balk8"/>
        <w:tabs>
          <w:tab w:val="left" w:pos="589"/>
        </w:tabs>
        <w:spacing w:before="121"/>
        <w:ind w:left="0"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Görev ve</w:t>
      </w:r>
      <w:r w:rsidRPr="001D3CD5">
        <w:rPr>
          <w:color w:val="231F20"/>
          <w:spacing w:val="-3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Sorumlulukları</w:t>
      </w:r>
    </w:p>
    <w:p w:rsidR="00A63B01" w:rsidRPr="001D3CD5" w:rsidRDefault="00A63B01" w:rsidP="009C5096">
      <w:pPr>
        <w:pStyle w:val="GvdeMetni"/>
        <w:spacing w:before="119" w:line="264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Bilim, Sanayi ve Teknoloji Bakanlı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 xml:space="preserve">ı’nın Teşkilat ve Görevleri Hakkında 08 Haziran 2011 </w:t>
      </w:r>
      <w:proofErr w:type="gramStart"/>
      <w:r w:rsidRPr="001D3CD5">
        <w:rPr>
          <w:color w:val="231F20"/>
          <w:sz w:val="20"/>
          <w:szCs w:val="20"/>
          <w:lang w:val="tr-TR"/>
        </w:rPr>
        <w:t>tarih  ve</w:t>
      </w:r>
      <w:proofErr w:type="gramEnd"/>
      <w:r w:rsidRPr="001D3CD5">
        <w:rPr>
          <w:color w:val="231F20"/>
          <w:sz w:val="20"/>
          <w:szCs w:val="20"/>
          <w:lang w:val="tr-TR"/>
        </w:rPr>
        <w:t xml:space="preserve"> 27598 sayılı Resmi </w:t>
      </w:r>
      <w:proofErr w:type="spellStart"/>
      <w:r w:rsidRPr="001D3CD5">
        <w:rPr>
          <w:color w:val="231F20"/>
          <w:sz w:val="20"/>
          <w:szCs w:val="20"/>
          <w:lang w:val="tr-TR"/>
        </w:rPr>
        <w:t>Gazete’de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yayımlanan 635 sayılı Kanun Hükmünde Kararname ile belirlenen Metroloji ve Standardizasyon Genel Müdürlü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ü’nün görevleri aşa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ıda</w:t>
      </w:r>
      <w:r w:rsidRPr="001D3CD5">
        <w:rPr>
          <w:color w:val="231F20"/>
          <w:spacing w:val="-38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verilmektedir.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120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Metroloji politikasını belirlemek, metroloji alanında stratejiler geliştirmek ile uygulamasını sa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lamak ve</w:t>
      </w:r>
      <w:r w:rsidRPr="001D3CD5">
        <w:rPr>
          <w:color w:val="231F20"/>
          <w:spacing w:val="-1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izlemek,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1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Yasal metroloji ve hazır ambalajlama alanında teknik düzenlemeler ile ilgili standart listelerini hazırlamak, uygulamaya koymak, bu alanda piyasa gözetimi ve denetimi yapmak yaptırmak,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1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Yasal metroloji kapsamına alınacak veya kapsamdan çıkartılacak ölçü aletlerini belirlemek, yasal metrol</w:t>
      </w:r>
      <w:r w:rsidR="00F9241B">
        <w:rPr>
          <w:color w:val="231F20"/>
          <w:sz w:val="20"/>
          <w:szCs w:val="20"/>
          <w:lang w:val="tr-TR"/>
        </w:rPr>
        <w:t>oji alanında izlenebilirliği sağ</w:t>
      </w:r>
      <w:r w:rsidRPr="001D3CD5">
        <w:rPr>
          <w:color w:val="231F20"/>
          <w:sz w:val="20"/>
          <w:szCs w:val="20"/>
          <w:lang w:val="tr-TR"/>
        </w:rPr>
        <w:t>lamak için gerekli teknik ve idari altyapıyı oluşturmak,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39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Ulusal ölçü etalonlarının bulundurulma ve kontrol esaslarını</w:t>
      </w:r>
      <w:r w:rsidRPr="001D3CD5">
        <w:rPr>
          <w:color w:val="231F20"/>
          <w:spacing w:val="-1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belirlemek,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66" w:line="261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Türk </w:t>
      </w:r>
      <w:proofErr w:type="spellStart"/>
      <w:r w:rsidRPr="001D3CD5">
        <w:rPr>
          <w:color w:val="231F20"/>
          <w:sz w:val="20"/>
          <w:szCs w:val="20"/>
          <w:lang w:val="tr-TR"/>
        </w:rPr>
        <w:t>Standardları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Enstitüsü tarafından hazırlanan ve Bakanlık tarafından gerekli görülen standartlara ilişkin düzenlemeler yapmak ve uygulamasını</w:t>
      </w:r>
      <w:r w:rsidRPr="001D3CD5">
        <w:rPr>
          <w:color w:val="231F20"/>
          <w:spacing w:val="-4"/>
          <w:sz w:val="20"/>
          <w:szCs w:val="20"/>
          <w:lang w:val="tr-TR"/>
        </w:rPr>
        <w:t xml:space="preserve"> </w:t>
      </w:r>
      <w:r w:rsidR="00F9241B">
        <w:rPr>
          <w:color w:val="231F20"/>
          <w:sz w:val="20"/>
          <w:szCs w:val="20"/>
          <w:lang w:val="tr-TR"/>
        </w:rPr>
        <w:t>sağ</w:t>
      </w:r>
      <w:r w:rsidRPr="001D3CD5">
        <w:rPr>
          <w:color w:val="231F20"/>
          <w:sz w:val="20"/>
          <w:szCs w:val="20"/>
          <w:lang w:val="tr-TR"/>
        </w:rPr>
        <w:t>lamak,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4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Yasal metroloji ve hazır ambalajlama alanında teknik düzenlemesi ve standardı bulunmayan ürünlerin denetimine esas olacak özellikleri tespit etmek veya</w:t>
      </w:r>
      <w:r w:rsidRPr="001D3CD5">
        <w:rPr>
          <w:color w:val="231F20"/>
          <w:spacing w:val="-1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ettirmek,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1" w:line="261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Metroloji, standardizasy</w:t>
      </w:r>
      <w:r w:rsidR="00F9241B">
        <w:rPr>
          <w:color w:val="231F20"/>
          <w:sz w:val="20"/>
          <w:szCs w:val="20"/>
          <w:lang w:val="tr-TR"/>
        </w:rPr>
        <w:t>on, akreditasyon ve uygunluk değ</w:t>
      </w:r>
      <w:r w:rsidRPr="001D3CD5">
        <w:rPr>
          <w:color w:val="231F20"/>
          <w:sz w:val="20"/>
          <w:szCs w:val="20"/>
          <w:lang w:val="tr-TR"/>
        </w:rPr>
        <w:t>erlendirmesi alanlarında stratejiler belirlemek, bunların uygulanmasında ilgili kuruluşlar arasında koordinasyonu</w:t>
      </w:r>
      <w:r w:rsidRPr="001D3CD5">
        <w:rPr>
          <w:color w:val="231F20"/>
          <w:spacing w:val="-19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s</w:t>
      </w:r>
      <w:r w:rsidR="00F9241B">
        <w:rPr>
          <w:color w:val="231F20"/>
          <w:sz w:val="20"/>
          <w:szCs w:val="20"/>
          <w:lang w:val="tr-TR"/>
        </w:rPr>
        <w:t>ağ</w:t>
      </w:r>
      <w:r w:rsidRPr="001D3CD5">
        <w:rPr>
          <w:color w:val="231F20"/>
          <w:sz w:val="20"/>
          <w:szCs w:val="20"/>
          <w:lang w:val="tr-TR"/>
        </w:rPr>
        <w:t>lamak,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4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lastRenderedPageBreak/>
        <w:t>Laboratuvarlar kurmak veya kurdurmak, kurulan laboratuvarların belirlenen usul ve esasla</w:t>
      </w:r>
      <w:r w:rsidR="00F9241B">
        <w:rPr>
          <w:color w:val="231F20"/>
          <w:sz w:val="20"/>
          <w:szCs w:val="20"/>
          <w:lang w:val="tr-TR"/>
        </w:rPr>
        <w:t>r çerçevesinde çalışmalarını sağ</w:t>
      </w:r>
      <w:r w:rsidRPr="001D3CD5">
        <w:rPr>
          <w:color w:val="231F20"/>
          <w:sz w:val="20"/>
          <w:szCs w:val="20"/>
          <w:lang w:val="tr-TR"/>
        </w:rPr>
        <w:t>lamak ve kontrol</w:t>
      </w:r>
      <w:r w:rsidRPr="001D3CD5">
        <w:rPr>
          <w:color w:val="231F20"/>
          <w:spacing w:val="-6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etmek,</w:t>
      </w:r>
    </w:p>
    <w:p w:rsidR="00A63B01" w:rsidRPr="001D3CD5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41" w:line="264" w:lineRule="auto"/>
        <w:ind w:left="567" w:right="-567" w:hanging="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Yasal metroloji alanında uluslararası gelişmeleri izlemek ve de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erlendirmek, bu alanda faaliyet gösteren uluslararası kuruluşlara katılmak ve işbirli</w:t>
      </w:r>
      <w:r w:rsidR="00F9241B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</w:t>
      </w:r>
      <w:r w:rsidRPr="001D3CD5">
        <w:rPr>
          <w:color w:val="231F20"/>
          <w:spacing w:val="-16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yapmak,</w:t>
      </w:r>
    </w:p>
    <w:p w:rsidR="001D3CD5" w:rsidRPr="001D3CD5" w:rsidRDefault="001D3CD5" w:rsidP="001D3CD5">
      <w:pPr>
        <w:pStyle w:val="Balk5"/>
        <w:tabs>
          <w:tab w:val="left" w:pos="733"/>
          <w:tab w:val="left" w:pos="8789"/>
        </w:tabs>
        <w:spacing w:before="168"/>
        <w:ind w:left="0"/>
        <w:rPr>
          <w:color w:val="000000" w:themeColor="text1"/>
          <w:lang w:val="tr-TR"/>
        </w:rPr>
      </w:pPr>
      <w:r w:rsidRPr="001D3CD5">
        <w:rPr>
          <w:color w:val="000000" w:themeColor="text1"/>
          <w:lang w:val="tr-TR"/>
        </w:rPr>
        <w:t>TÜRK AKREDITASYON KURUMU</w:t>
      </w:r>
      <w:r w:rsidRPr="001D3CD5">
        <w:rPr>
          <w:color w:val="000000" w:themeColor="text1"/>
          <w:spacing w:val="4"/>
          <w:lang w:val="tr-TR"/>
        </w:rPr>
        <w:t xml:space="preserve"> </w:t>
      </w:r>
      <w:r w:rsidRPr="001D3CD5">
        <w:rPr>
          <w:color w:val="000000" w:themeColor="text1"/>
          <w:lang w:val="tr-TR"/>
        </w:rPr>
        <w:t>(TÜRKAK)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>
        <w:rPr>
          <w:color w:val="231F20"/>
          <w:sz w:val="20"/>
          <w:szCs w:val="20"/>
          <w:lang w:val="tr-TR"/>
        </w:rPr>
        <w:t>TÜRKAK, uygunluk değ</w:t>
      </w:r>
      <w:r w:rsidRPr="001D3CD5">
        <w:rPr>
          <w:color w:val="231F20"/>
          <w:sz w:val="20"/>
          <w:szCs w:val="20"/>
          <w:lang w:val="tr-TR"/>
        </w:rPr>
        <w:t>erlendirmesi alanında ülkemizdeki ulusal akreditasyon kuruluşu olup, ülkemizde üretilen malların piyasalarda dola</w:t>
      </w:r>
      <w:r>
        <w:rPr>
          <w:color w:val="231F20"/>
          <w:sz w:val="20"/>
          <w:szCs w:val="20"/>
          <w:lang w:val="tr-TR"/>
        </w:rPr>
        <w:t>şımı için, anlaşmaların öngördüğ</w:t>
      </w:r>
      <w:r w:rsidRPr="001D3CD5">
        <w:rPr>
          <w:color w:val="231F20"/>
          <w:sz w:val="20"/>
          <w:szCs w:val="20"/>
          <w:lang w:val="tr-TR"/>
        </w:rPr>
        <w:t>ü şekilde; güvenilir ve şeffaf uygunluk de</w:t>
      </w:r>
      <w:r w:rsidR="007B68E9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erlendirmesi işlemlerinden geçirilerek ilgili rapor ve belgelerin tanzim edilmesini sa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lamak amacıyla faaliyet gösterir. TÜRKAK, Avrupa Birli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 Bakanlı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ı ile ilgili, özel hukuk hükümlerine tabi, tüzel kişili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 haiz, idari ve mali özerkli</w:t>
      </w:r>
      <w:r w:rsidR="007B68E9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e sahip bir kurumdur.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b/>
          <w:color w:val="231F20"/>
          <w:sz w:val="20"/>
          <w:szCs w:val="20"/>
          <w:lang w:val="tr-TR"/>
        </w:rPr>
      </w:pPr>
      <w:r w:rsidRPr="001D3CD5">
        <w:rPr>
          <w:b/>
          <w:color w:val="231F20"/>
          <w:sz w:val="20"/>
          <w:szCs w:val="20"/>
          <w:lang w:val="tr-TR"/>
        </w:rPr>
        <w:t>Görev ve Sorumlulukları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Türk Akreditasyon Kurumu Kuruluş ve Görevleri Hakkında 27 Ekim 1999 tarih ve 23866 sayılı Resmi </w:t>
      </w:r>
      <w:proofErr w:type="spellStart"/>
      <w:r w:rsidRPr="001D3CD5">
        <w:rPr>
          <w:color w:val="231F20"/>
          <w:sz w:val="20"/>
          <w:szCs w:val="20"/>
          <w:lang w:val="tr-TR"/>
        </w:rPr>
        <w:t>Gazete’de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yayımlanan 4457 sayılı Kanun ve 29.06.2012 tarihli 6337 sayılı kanunda yapılan de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 xml:space="preserve">işiklikler ile belirlenen </w:t>
      </w:r>
      <w:proofErr w:type="spellStart"/>
      <w:r w:rsidRPr="001D3CD5">
        <w:rPr>
          <w:color w:val="231F20"/>
          <w:sz w:val="20"/>
          <w:szCs w:val="20"/>
          <w:lang w:val="tr-TR"/>
        </w:rPr>
        <w:t>TÜRKAK’ın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görevleri aşa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ıda verilmektedir.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Ülkemizde uygunluk de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erlendirme kuruluşlarına akreditasyon hizmeti sunan tek kuruluş olarak Kurum faaliyetleri ile ilgili düzenlemeleri yapmak, akreditasyon ile ilgili gerekli kıstas ve tedbirleri belirlemek, bunl</w:t>
      </w:r>
      <w:r>
        <w:rPr>
          <w:color w:val="231F20"/>
          <w:sz w:val="20"/>
          <w:szCs w:val="20"/>
          <w:lang w:val="tr-TR"/>
        </w:rPr>
        <w:t>arı uygulamak ve gerektiğinde değ</w:t>
      </w:r>
      <w:r w:rsidRPr="001D3CD5">
        <w:rPr>
          <w:color w:val="231F20"/>
          <w:sz w:val="20"/>
          <w:szCs w:val="20"/>
          <w:lang w:val="tr-TR"/>
        </w:rPr>
        <w:t>iştirmek, yürürlükten kaldırmak ve ilgili önlemleri almak.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proofErr w:type="gramStart"/>
      <w:r w:rsidRPr="001D3CD5">
        <w:rPr>
          <w:color w:val="231F20"/>
          <w:sz w:val="20"/>
          <w:szCs w:val="20"/>
          <w:lang w:val="tr-TR"/>
        </w:rPr>
        <w:t>Akredite edilmek üzere başvuran kuruluşların ilgili standartlara ve ölçütlere göre denetimini yapmak ve bu denetim sonucunda kuruluşun akredite edilip edilmemesine karar vermek, akredite edilen kuruluşları izlemek, akreditasyonun</w:t>
      </w:r>
      <w:r>
        <w:rPr>
          <w:color w:val="231F20"/>
          <w:sz w:val="20"/>
          <w:szCs w:val="20"/>
          <w:lang w:val="tr-TR"/>
        </w:rPr>
        <w:t xml:space="preserve"> kapsamını değiştirmek, gerektiğ</w:t>
      </w:r>
      <w:r w:rsidRPr="001D3CD5">
        <w:rPr>
          <w:color w:val="231F20"/>
          <w:sz w:val="20"/>
          <w:szCs w:val="20"/>
          <w:lang w:val="tr-TR"/>
        </w:rPr>
        <w:t xml:space="preserve">inde akreditasyonu askıya almak veya iptal etmek ve akredite edilen kurum ve kuruluşlar arasında Kurumun görev </w:t>
      </w:r>
      <w:r>
        <w:rPr>
          <w:color w:val="231F20"/>
          <w:sz w:val="20"/>
          <w:szCs w:val="20"/>
          <w:lang w:val="tr-TR"/>
        </w:rPr>
        <w:t>alanına giren konularda işbirliğ</w:t>
      </w:r>
      <w:r w:rsidRPr="001D3CD5">
        <w:rPr>
          <w:color w:val="231F20"/>
          <w:sz w:val="20"/>
          <w:szCs w:val="20"/>
          <w:lang w:val="tr-TR"/>
        </w:rPr>
        <w:t xml:space="preserve">ini </w:t>
      </w:r>
      <w:r>
        <w:rPr>
          <w:color w:val="231F20"/>
          <w:sz w:val="20"/>
          <w:szCs w:val="20"/>
          <w:lang w:val="tr-TR"/>
        </w:rPr>
        <w:t>sağ</w:t>
      </w:r>
      <w:r w:rsidRPr="001D3CD5">
        <w:rPr>
          <w:color w:val="231F20"/>
          <w:sz w:val="20"/>
          <w:szCs w:val="20"/>
          <w:lang w:val="tr-TR"/>
        </w:rPr>
        <w:t>lamak</w:t>
      </w:r>
      <w:r>
        <w:rPr>
          <w:color w:val="231F20"/>
          <w:sz w:val="20"/>
          <w:szCs w:val="20"/>
          <w:lang w:val="tr-TR"/>
        </w:rPr>
        <w:t>tır</w:t>
      </w:r>
      <w:r w:rsidRPr="001D3CD5">
        <w:rPr>
          <w:color w:val="231F20"/>
          <w:sz w:val="20"/>
          <w:szCs w:val="20"/>
          <w:lang w:val="tr-TR"/>
        </w:rPr>
        <w:t>.</w:t>
      </w:r>
      <w:proofErr w:type="gramEnd"/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Uluslararası ve bölgesel akreditasyon birlikleri ve örgütleri, ülkelerin akreditasyon kuruluşları ve akreditasyon kuruluşu bulunmayan ülkelerdeki akreditasyonla ilgili kurum ve kuruluşlarla ilişkiler kurmak ve iş </w:t>
      </w:r>
      <w:proofErr w:type="spellStart"/>
      <w:r w:rsidRPr="001D3CD5">
        <w:rPr>
          <w:color w:val="231F20"/>
          <w:sz w:val="20"/>
          <w:szCs w:val="20"/>
          <w:lang w:val="tr-TR"/>
        </w:rPr>
        <w:t>birliginde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bulunmak.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Akreditasyon amacıyla başvuran kuruluşların müracaatı, de</w:t>
      </w:r>
      <w:r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 xml:space="preserve">erlendirilmesi ve akredite edilmesi ile ilgili olarak </w:t>
      </w:r>
      <w:r>
        <w:rPr>
          <w:color w:val="231F20"/>
          <w:sz w:val="20"/>
          <w:szCs w:val="20"/>
          <w:lang w:val="tr-TR"/>
        </w:rPr>
        <w:t>elde edilmiş bilgilerin gizliliğ</w:t>
      </w:r>
      <w:r w:rsidRPr="001D3CD5">
        <w:rPr>
          <w:color w:val="231F20"/>
          <w:sz w:val="20"/>
          <w:szCs w:val="20"/>
          <w:lang w:val="tr-TR"/>
        </w:rPr>
        <w:t>ini korumak.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Yurt içinde ve yurt dışında, akreditasyonun önemini ve kalite bilincini artırıcı faaliyetlerde bulunmak, görev alanına gire</w:t>
      </w:r>
      <w:r>
        <w:rPr>
          <w:color w:val="231F20"/>
          <w:sz w:val="20"/>
          <w:szCs w:val="20"/>
          <w:lang w:val="tr-TR"/>
        </w:rPr>
        <w:t>n konularda eğ</w:t>
      </w:r>
      <w:r w:rsidRPr="001D3CD5">
        <w:rPr>
          <w:color w:val="231F20"/>
          <w:sz w:val="20"/>
          <w:szCs w:val="20"/>
          <w:lang w:val="tr-TR"/>
        </w:rPr>
        <w:t>itim vermek, araştırma ve yayın yapmak.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Kurum faaliyetlerinin icrası için hizmet almak, taşınır ve taşınmaz mal satın almak, yaptırmak, satmak, kiralamak.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proofErr w:type="spellStart"/>
      <w:r w:rsidRPr="001D3CD5">
        <w:rPr>
          <w:color w:val="231F20"/>
          <w:sz w:val="20"/>
          <w:szCs w:val="20"/>
          <w:lang w:val="tr-TR"/>
        </w:rPr>
        <w:t>Iyi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laboratuvar uygulamaları konusunda ulusal izleme otoritesi olarak hizmet vermek.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color w:val="231F20"/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Fa</w:t>
      </w:r>
      <w:r>
        <w:rPr>
          <w:color w:val="231F20"/>
          <w:sz w:val="20"/>
          <w:szCs w:val="20"/>
          <w:lang w:val="tr-TR"/>
        </w:rPr>
        <w:t>aliyet alanıyla ilgili diğ</w:t>
      </w:r>
      <w:r w:rsidRPr="001D3CD5">
        <w:rPr>
          <w:color w:val="231F20"/>
          <w:sz w:val="20"/>
          <w:szCs w:val="20"/>
          <w:lang w:val="tr-TR"/>
        </w:rPr>
        <w:t>er görevleri yerine getirmek.</w:t>
      </w:r>
    </w:p>
    <w:p w:rsidR="001D3CD5" w:rsidRPr="001D3CD5" w:rsidRDefault="001D3CD5" w:rsidP="001D3CD5">
      <w:pPr>
        <w:pStyle w:val="GvdeMetni"/>
        <w:spacing w:before="189" w:line="264" w:lineRule="auto"/>
        <w:ind w:right="-567"/>
        <w:jc w:val="both"/>
        <w:rPr>
          <w:sz w:val="20"/>
          <w:szCs w:val="20"/>
          <w:lang w:val="tr-TR"/>
        </w:rPr>
      </w:pPr>
    </w:p>
    <w:p w:rsidR="00FA16BB" w:rsidRPr="001D3CD5" w:rsidRDefault="00FA16BB" w:rsidP="001D3CD5">
      <w:pPr>
        <w:pStyle w:val="Balk5"/>
        <w:tabs>
          <w:tab w:val="left" w:pos="733"/>
          <w:tab w:val="left" w:pos="8789"/>
        </w:tabs>
        <w:spacing w:before="93"/>
        <w:ind w:left="0" w:right="-567"/>
        <w:jc w:val="both"/>
        <w:rPr>
          <w:color w:val="000000" w:themeColor="text1"/>
          <w:sz w:val="20"/>
          <w:szCs w:val="20"/>
          <w:lang w:val="tr-TR"/>
        </w:rPr>
      </w:pPr>
      <w:r w:rsidRPr="001D3CD5">
        <w:rPr>
          <w:color w:val="000000" w:themeColor="text1"/>
          <w:sz w:val="20"/>
          <w:szCs w:val="20"/>
          <w:lang w:val="tr-TR"/>
        </w:rPr>
        <w:t>TÜRK STANDARDLARI ENSTITÜSÜ</w:t>
      </w:r>
      <w:r w:rsidRPr="001D3CD5">
        <w:rPr>
          <w:color w:val="000000" w:themeColor="text1"/>
          <w:spacing w:val="-4"/>
          <w:sz w:val="20"/>
          <w:szCs w:val="20"/>
          <w:lang w:val="tr-TR"/>
        </w:rPr>
        <w:t xml:space="preserve"> </w:t>
      </w:r>
      <w:r w:rsidRPr="001D3CD5">
        <w:rPr>
          <w:color w:val="000000" w:themeColor="text1"/>
          <w:sz w:val="20"/>
          <w:szCs w:val="20"/>
          <w:lang w:val="tr-TR"/>
        </w:rPr>
        <w:t>(TSE)</w:t>
      </w:r>
    </w:p>
    <w:p w:rsidR="00FA16BB" w:rsidRPr="001D3CD5" w:rsidRDefault="00FA16BB" w:rsidP="001D3CD5">
      <w:pPr>
        <w:pStyle w:val="GvdeMetni"/>
        <w:tabs>
          <w:tab w:val="left" w:pos="8789"/>
        </w:tabs>
        <w:spacing w:before="71" w:line="252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Türk </w:t>
      </w:r>
      <w:proofErr w:type="spellStart"/>
      <w:r w:rsidRPr="001D3CD5">
        <w:rPr>
          <w:color w:val="231F20"/>
          <w:sz w:val="20"/>
          <w:szCs w:val="20"/>
          <w:lang w:val="tr-TR"/>
        </w:rPr>
        <w:t>Standardları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Enstitüsü; her türlü madde ve mam</w:t>
      </w:r>
      <w:r w:rsidR="001D3CD5">
        <w:rPr>
          <w:color w:val="231F20"/>
          <w:sz w:val="20"/>
          <w:szCs w:val="20"/>
          <w:lang w:val="tr-TR"/>
        </w:rPr>
        <w:t>u</w:t>
      </w:r>
      <w:r w:rsidRPr="001D3CD5">
        <w:rPr>
          <w:color w:val="231F20"/>
          <w:sz w:val="20"/>
          <w:szCs w:val="20"/>
          <w:lang w:val="tr-TR"/>
        </w:rPr>
        <w:t>ller ile usul ve hizmet standartlarını yapmak amacıyla 18.11.1960 tarih ve 132 sayılı kanunla kur</w:t>
      </w:r>
      <w:r w:rsidR="001D3CD5">
        <w:rPr>
          <w:color w:val="231F20"/>
          <w:sz w:val="20"/>
          <w:szCs w:val="20"/>
          <w:lang w:val="tr-TR"/>
        </w:rPr>
        <w:t>ulmuştur. Enstitü, tüzel kişiliğ</w:t>
      </w:r>
      <w:r w:rsidRPr="001D3CD5">
        <w:rPr>
          <w:color w:val="231F20"/>
          <w:sz w:val="20"/>
          <w:szCs w:val="20"/>
          <w:lang w:val="tr-TR"/>
        </w:rPr>
        <w:t>i haiz, özel hukuk hükümlerine göre yönetilen bir kamu kurumu olup, kısa adı ve markası TSE'dir.</w:t>
      </w:r>
    </w:p>
    <w:p w:rsidR="00FA16BB" w:rsidRPr="001D3CD5" w:rsidRDefault="00FA16BB" w:rsidP="001D3CD5">
      <w:pPr>
        <w:pStyle w:val="GvdeMetni"/>
        <w:tabs>
          <w:tab w:val="left" w:pos="8789"/>
        </w:tabs>
        <w:spacing w:before="120" w:line="252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Ülkemizin rekabet gücünü artırmak, ulusal ve uluslararası düzeyde ticaretini kolaylaştırmak ve toplumun yaşam düzeyini yükseltmek için; standardizasyon, uygunluk de</w:t>
      </w:r>
      <w:r w:rsidR="001D3CD5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 xml:space="preserve">erlendirme, deney ve </w:t>
      </w:r>
      <w:proofErr w:type="gramStart"/>
      <w:r w:rsidRPr="001D3CD5">
        <w:rPr>
          <w:color w:val="231F20"/>
          <w:sz w:val="20"/>
          <w:szCs w:val="20"/>
          <w:lang w:val="tr-TR"/>
        </w:rPr>
        <w:t>kalibrasyon</w:t>
      </w:r>
      <w:proofErr w:type="gramEnd"/>
      <w:r w:rsidRPr="001D3CD5">
        <w:rPr>
          <w:color w:val="231F20"/>
          <w:sz w:val="20"/>
          <w:szCs w:val="20"/>
          <w:lang w:val="tr-TR"/>
        </w:rPr>
        <w:t xml:space="preserve"> faaliyetlerini tarafsız, ba</w:t>
      </w:r>
      <w:r w:rsidR="001D3CD5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ımsız, etkin ve güvenilir olarak sa</w:t>
      </w:r>
      <w:r w:rsidR="001D3CD5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lamak misyonu ile görevlerini Bilim, Sanayi ve Tekno</w:t>
      </w:r>
      <w:r w:rsidR="001D3CD5">
        <w:rPr>
          <w:color w:val="231F20"/>
          <w:sz w:val="20"/>
          <w:szCs w:val="20"/>
          <w:lang w:val="tr-TR"/>
        </w:rPr>
        <w:t>loji Bakanlığ</w:t>
      </w:r>
      <w:r w:rsidRPr="001D3CD5">
        <w:rPr>
          <w:color w:val="231F20"/>
          <w:sz w:val="20"/>
          <w:szCs w:val="20"/>
          <w:lang w:val="tr-TR"/>
        </w:rPr>
        <w:t>ı altında sürdürmektedir.</w:t>
      </w:r>
    </w:p>
    <w:p w:rsidR="00FA16BB" w:rsidRPr="001D3CD5" w:rsidRDefault="00FA16BB" w:rsidP="001D3CD5">
      <w:pPr>
        <w:pStyle w:val="GvdeMetni"/>
        <w:tabs>
          <w:tab w:val="left" w:pos="8789"/>
        </w:tabs>
        <w:spacing w:before="118" w:line="252" w:lineRule="auto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TSE tarafından kabul edilen standartlar Türk Standardı adını alır. Bu standartlar ihtiya</w:t>
      </w:r>
      <w:r w:rsidR="001D3CD5">
        <w:rPr>
          <w:color w:val="231F20"/>
          <w:sz w:val="20"/>
          <w:szCs w:val="20"/>
          <w:lang w:val="tr-TR"/>
        </w:rPr>
        <w:t>ri olup, standardın ilgili olduğu bakanlığı</w:t>
      </w:r>
      <w:r w:rsidRPr="001D3CD5">
        <w:rPr>
          <w:color w:val="231F20"/>
          <w:sz w:val="20"/>
          <w:szCs w:val="20"/>
          <w:lang w:val="tr-TR"/>
        </w:rPr>
        <w:t xml:space="preserve">n onayı ile mecburi kılınabilir. Bir standardın mecburi kılınabilmesi için Türk Standardı olması şarttır. Mecburi kılınan standartlar Resmi </w:t>
      </w:r>
      <w:proofErr w:type="spellStart"/>
      <w:r w:rsidRPr="001D3CD5">
        <w:rPr>
          <w:color w:val="231F20"/>
          <w:sz w:val="20"/>
          <w:szCs w:val="20"/>
          <w:lang w:val="tr-TR"/>
        </w:rPr>
        <w:t>Gazete'de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yayımlanır.</w:t>
      </w:r>
    </w:p>
    <w:p w:rsidR="00FA16BB" w:rsidRPr="001D3CD5" w:rsidRDefault="00FA16BB" w:rsidP="001D3CD5">
      <w:pPr>
        <w:pStyle w:val="Balk8"/>
        <w:tabs>
          <w:tab w:val="left" w:pos="732"/>
          <w:tab w:val="left" w:pos="733"/>
          <w:tab w:val="left" w:pos="8789"/>
        </w:tabs>
        <w:spacing w:before="119"/>
        <w:ind w:left="0"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Görev ve</w:t>
      </w:r>
      <w:r w:rsidRPr="001D3CD5">
        <w:rPr>
          <w:color w:val="231F20"/>
          <w:spacing w:val="-3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Sorumlulukları</w:t>
      </w:r>
    </w:p>
    <w:p w:rsidR="00FA16BB" w:rsidRPr="001D3CD5" w:rsidRDefault="00FA16BB" w:rsidP="001D3CD5">
      <w:pPr>
        <w:pStyle w:val="GvdeMetni"/>
        <w:tabs>
          <w:tab w:val="left" w:pos="8789"/>
        </w:tabs>
        <w:spacing w:before="119"/>
        <w:ind w:right="-567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Türk </w:t>
      </w:r>
      <w:proofErr w:type="spellStart"/>
      <w:r w:rsidRPr="001D3CD5">
        <w:rPr>
          <w:color w:val="231F20"/>
          <w:sz w:val="20"/>
          <w:szCs w:val="20"/>
          <w:lang w:val="tr-TR"/>
        </w:rPr>
        <w:t>Standardları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Enstitüsü'nün görevleri şunlardır: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145"/>
        <w:ind w:left="709" w:right="-567" w:hanging="709"/>
        <w:jc w:val="both"/>
        <w:rPr>
          <w:sz w:val="20"/>
          <w:szCs w:val="20"/>
          <w:lang w:val="tr-TR"/>
        </w:rPr>
      </w:pPr>
      <w:proofErr w:type="gramStart"/>
      <w:r w:rsidRPr="001D3CD5">
        <w:rPr>
          <w:color w:val="231F20"/>
          <w:sz w:val="20"/>
          <w:szCs w:val="20"/>
          <w:lang w:val="tr-TR"/>
        </w:rPr>
        <w:t>Her türlü standardı hazırlamak ve</w:t>
      </w:r>
      <w:r w:rsidRPr="001D3CD5">
        <w:rPr>
          <w:color w:val="231F20"/>
          <w:spacing w:val="-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hazırlatmak.</w:t>
      </w:r>
      <w:proofErr w:type="gramEnd"/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4"/>
        </w:tabs>
        <w:spacing w:before="47" w:line="264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Enstitü bünyesinde veya hariçte hazırlanan standartları tetkik etmek </w:t>
      </w:r>
      <w:r w:rsidRPr="001D3CD5">
        <w:rPr>
          <w:color w:val="231F20"/>
          <w:spacing w:val="-3"/>
          <w:sz w:val="20"/>
          <w:szCs w:val="20"/>
          <w:lang w:val="tr-TR"/>
        </w:rPr>
        <w:t xml:space="preserve">ve </w:t>
      </w:r>
      <w:r w:rsidR="001D3CD5">
        <w:rPr>
          <w:color w:val="231F20"/>
          <w:sz w:val="20"/>
          <w:szCs w:val="20"/>
          <w:lang w:val="tr-TR"/>
        </w:rPr>
        <w:t>uygun bulduğ</w:t>
      </w:r>
      <w:r w:rsidRPr="001D3CD5">
        <w:rPr>
          <w:color w:val="231F20"/>
          <w:sz w:val="20"/>
          <w:szCs w:val="20"/>
          <w:lang w:val="tr-TR"/>
        </w:rPr>
        <w:t xml:space="preserve">u takdirde Türk </w:t>
      </w:r>
      <w:proofErr w:type="spellStart"/>
      <w:r w:rsidRPr="001D3CD5">
        <w:rPr>
          <w:color w:val="231F20"/>
          <w:sz w:val="20"/>
          <w:szCs w:val="20"/>
          <w:lang w:val="tr-TR"/>
        </w:rPr>
        <w:lastRenderedPageBreak/>
        <w:t>Standardları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olarak kabul</w:t>
      </w:r>
      <w:r w:rsidRPr="001D3CD5">
        <w:rPr>
          <w:color w:val="231F20"/>
          <w:spacing w:val="-9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etmek.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4"/>
        </w:tabs>
        <w:spacing w:before="22" w:line="261" w:lineRule="auto"/>
        <w:ind w:left="709" w:right="-567" w:hanging="709"/>
        <w:jc w:val="both"/>
        <w:rPr>
          <w:sz w:val="20"/>
          <w:szCs w:val="20"/>
          <w:lang w:val="tr-TR"/>
        </w:rPr>
      </w:pPr>
      <w:proofErr w:type="gramStart"/>
      <w:r w:rsidRPr="001D3CD5">
        <w:rPr>
          <w:color w:val="231F20"/>
          <w:sz w:val="20"/>
          <w:szCs w:val="20"/>
          <w:lang w:val="tr-TR"/>
        </w:rPr>
        <w:t>Kabul edilen standartları yayımlamak ve ihtiyari olarak uygulanmalarını teşvi</w:t>
      </w:r>
      <w:r w:rsidR="001D3CD5">
        <w:rPr>
          <w:color w:val="231F20"/>
          <w:sz w:val="20"/>
          <w:szCs w:val="20"/>
          <w:lang w:val="tr-TR"/>
        </w:rPr>
        <w:t>k etmek, mecburi olarak yürürlüğ</w:t>
      </w:r>
      <w:r w:rsidRPr="001D3CD5">
        <w:rPr>
          <w:color w:val="231F20"/>
          <w:sz w:val="20"/>
          <w:szCs w:val="20"/>
          <w:lang w:val="tr-TR"/>
        </w:rPr>
        <w:t>e konmalarında f</w:t>
      </w:r>
      <w:r w:rsidR="001D3CD5">
        <w:rPr>
          <w:color w:val="231F20"/>
          <w:sz w:val="20"/>
          <w:szCs w:val="20"/>
          <w:lang w:val="tr-TR"/>
        </w:rPr>
        <w:t>ayda görülenleri ilgili bakanlığ</w:t>
      </w:r>
      <w:r w:rsidRPr="001D3CD5">
        <w:rPr>
          <w:color w:val="231F20"/>
          <w:sz w:val="20"/>
          <w:szCs w:val="20"/>
          <w:lang w:val="tr-TR"/>
        </w:rPr>
        <w:t>ın onayına</w:t>
      </w:r>
      <w:r w:rsidRPr="001D3CD5">
        <w:rPr>
          <w:color w:val="231F20"/>
          <w:spacing w:val="-29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sunmak.</w:t>
      </w:r>
      <w:proofErr w:type="gramEnd"/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4" w:line="261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Kamu sektörü ve özel sektörün talebi üzerine standartları veya projelerini hazırlamak ve görüş</w:t>
      </w:r>
      <w:r w:rsidRPr="001D3CD5">
        <w:rPr>
          <w:color w:val="231F20"/>
          <w:spacing w:val="-1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bildirmek.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5" w:line="264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Standartlar konusunda her türlü bilimsel teknik incelemelerle araştırmalarda bulunmak, yabancı ülkelerdeki benzer çalışmaları takip etmek, uluslararası ve yabancı standart kurumları ile ilişkiler kurmak ve bunlarla işbirli</w:t>
      </w:r>
      <w:r w:rsidR="001D3CD5">
        <w:rPr>
          <w:color w:val="231F20"/>
          <w:sz w:val="20"/>
          <w:szCs w:val="20"/>
          <w:lang w:val="tr-TR"/>
        </w:rPr>
        <w:t>ğ</w:t>
      </w:r>
      <w:r w:rsidRPr="001D3CD5">
        <w:rPr>
          <w:color w:val="231F20"/>
          <w:sz w:val="20"/>
          <w:szCs w:val="20"/>
          <w:lang w:val="tr-TR"/>
        </w:rPr>
        <w:t>i</w:t>
      </w:r>
      <w:r w:rsidRPr="001D3CD5">
        <w:rPr>
          <w:color w:val="231F20"/>
          <w:spacing w:val="-6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yapmak.</w:t>
      </w:r>
    </w:p>
    <w:p w:rsidR="00FA16BB" w:rsidRPr="001D3CD5" w:rsidRDefault="001D3CD5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19" w:line="264" w:lineRule="auto"/>
        <w:ind w:left="709" w:right="-567" w:hanging="709"/>
        <w:jc w:val="both"/>
        <w:rPr>
          <w:sz w:val="20"/>
          <w:szCs w:val="20"/>
          <w:lang w:val="tr-TR"/>
        </w:rPr>
      </w:pPr>
      <w:r>
        <w:rPr>
          <w:color w:val="231F20"/>
          <w:sz w:val="20"/>
          <w:szCs w:val="20"/>
          <w:lang w:val="tr-TR"/>
        </w:rPr>
        <w:t>Üniversiteler ve diğ</w:t>
      </w:r>
      <w:r w:rsidR="00FA16BB" w:rsidRPr="001D3CD5">
        <w:rPr>
          <w:color w:val="231F20"/>
          <w:sz w:val="20"/>
          <w:szCs w:val="20"/>
          <w:lang w:val="tr-TR"/>
        </w:rPr>
        <w:t>er bilimsel ve tekni</w:t>
      </w:r>
      <w:r>
        <w:rPr>
          <w:color w:val="231F20"/>
          <w:sz w:val="20"/>
          <w:szCs w:val="20"/>
          <w:lang w:val="tr-TR"/>
        </w:rPr>
        <w:t>k kurum ve kuruluşlarla işbirliği sağ</w:t>
      </w:r>
      <w:r w:rsidR="00FA16BB" w:rsidRPr="001D3CD5">
        <w:rPr>
          <w:color w:val="231F20"/>
          <w:sz w:val="20"/>
          <w:szCs w:val="20"/>
          <w:lang w:val="tr-TR"/>
        </w:rPr>
        <w:t>lamak, standardizasyon konularında yayım yapmak, ulusal ve uluslararası standartlardan arşivler oluşturmak ve ilgililerin faydalanmalarına</w:t>
      </w:r>
      <w:r w:rsidR="00FA16BB" w:rsidRPr="001D3CD5">
        <w:rPr>
          <w:color w:val="231F20"/>
          <w:spacing w:val="-3"/>
          <w:sz w:val="20"/>
          <w:szCs w:val="20"/>
          <w:lang w:val="tr-TR"/>
        </w:rPr>
        <w:t xml:space="preserve"> </w:t>
      </w:r>
      <w:r w:rsidR="00FA16BB" w:rsidRPr="001D3CD5">
        <w:rPr>
          <w:color w:val="231F20"/>
          <w:sz w:val="20"/>
          <w:szCs w:val="20"/>
          <w:lang w:val="tr-TR"/>
        </w:rPr>
        <w:t>sunmak.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0" w:line="264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Standartlarla ilgili araştırma yapmak ve ihtiyari standartların uygulanmasını kontrol etmek için laboratuvarlar kurmak, kamu sekt</w:t>
      </w:r>
      <w:r w:rsidR="001D3CD5">
        <w:rPr>
          <w:color w:val="231F20"/>
          <w:sz w:val="20"/>
          <w:szCs w:val="20"/>
          <w:lang w:val="tr-TR"/>
        </w:rPr>
        <w:t>örü veya özel sektörün isteyeceğ</w:t>
      </w:r>
      <w:r w:rsidRPr="001D3CD5">
        <w:rPr>
          <w:color w:val="231F20"/>
          <w:sz w:val="20"/>
          <w:szCs w:val="20"/>
          <w:lang w:val="tr-TR"/>
        </w:rPr>
        <w:t>i teknik çalışmaları yapmak ve rapor</w:t>
      </w:r>
      <w:r w:rsidRPr="001D3CD5">
        <w:rPr>
          <w:color w:val="231F20"/>
          <w:spacing w:val="-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vermek.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4"/>
        </w:tabs>
        <w:spacing w:before="22" w:line="261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Yurtta standart işlerini yerleştirmek ve geliştirmek için elemanlar yetiştirmek ve bu amaçla kurslar açmak ve seminerler</w:t>
      </w:r>
      <w:r w:rsidRPr="001D3CD5">
        <w:rPr>
          <w:color w:val="231F20"/>
          <w:spacing w:val="-1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düzenlemek.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5" w:line="261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>Standartlara uygun ve kaliteli üretimi teşvik edecek çalışmalar yapmak ve bunlarla ilgili belgeleri</w:t>
      </w:r>
      <w:r w:rsidRPr="001D3CD5">
        <w:rPr>
          <w:color w:val="231F20"/>
          <w:spacing w:val="-2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düzenlemek.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4" w:line="261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Metroloji ve </w:t>
      </w:r>
      <w:proofErr w:type="gramStart"/>
      <w:r w:rsidRPr="001D3CD5">
        <w:rPr>
          <w:color w:val="231F20"/>
          <w:sz w:val="20"/>
          <w:szCs w:val="20"/>
          <w:lang w:val="tr-TR"/>
        </w:rPr>
        <w:t>kalibrasyon</w:t>
      </w:r>
      <w:proofErr w:type="gramEnd"/>
      <w:r w:rsidRPr="001D3CD5">
        <w:rPr>
          <w:color w:val="231F20"/>
          <w:sz w:val="20"/>
          <w:szCs w:val="20"/>
          <w:lang w:val="tr-TR"/>
        </w:rPr>
        <w:t xml:space="preserve"> ile ilgili araştırma ve geliştirme çalışmaları yapmak ve gerekli laboratuvarları</w:t>
      </w:r>
      <w:r w:rsidRPr="001D3CD5">
        <w:rPr>
          <w:color w:val="231F20"/>
          <w:spacing w:val="-5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kurmak.</w:t>
      </w:r>
    </w:p>
    <w:p w:rsidR="00FA16BB" w:rsidRPr="001D3CD5" w:rsidRDefault="00FA16BB" w:rsidP="009C5096">
      <w:pPr>
        <w:pStyle w:val="ListeParagraf"/>
        <w:numPr>
          <w:ilvl w:val="1"/>
          <w:numId w:val="5"/>
        </w:numPr>
        <w:tabs>
          <w:tab w:val="left" w:pos="733"/>
        </w:tabs>
        <w:spacing w:before="25" w:line="264" w:lineRule="auto"/>
        <w:ind w:left="709" w:right="-567" w:hanging="709"/>
        <w:jc w:val="both"/>
        <w:rPr>
          <w:sz w:val="20"/>
          <w:szCs w:val="20"/>
          <w:lang w:val="tr-TR"/>
        </w:rPr>
      </w:pPr>
      <w:r w:rsidRPr="001D3CD5">
        <w:rPr>
          <w:color w:val="231F20"/>
          <w:sz w:val="20"/>
          <w:szCs w:val="20"/>
          <w:lang w:val="tr-TR"/>
        </w:rPr>
        <w:t xml:space="preserve">Türk </w:t>
      </w:r>
      <w:proofErr w:type="spellStart"/>
      <w:r w:rsidRPr="001D3CD5">
        <w:rPr>
          <w:color w:val="231F20"/>
          <w:sz w:val="20"/>
          <w:szCs w:val="20"/>
          <w:lang w:val="tr-TR"/>
        </w:rPr>
        <w:t>Standardları</w:t>
      </w:r>
      <w:proofErr w:type="spellEnd"/>
      <w:r w:rsidRPr="001D3CD5">
        <w:rPr>
          <w:color w:val="231F20"/>
          <w:sz w:val="20"/>
          <w:szCs w:val="20"/>
          <w:lang w:val="tr-TR"/>
        </w:rPr>
        <w:t xml:space="preserve"> Enstitüsü'nün bu görevlerinin öncelik esasına göre tanzimi Genel Kurul'ca kararlaştırılır ve ilgililere</w:t>
      </w:r>
      <w:r w:rsidRPr="001D3CD5">
        <w:rPr>
          <w:color w:val="231F20"/>
          <w:spacing w:val="3"/>
          <w:sz w:val="20"/>
          <w:szCs w:val="20"/>
          <w:lang w:val="tr-TR"/>
        </w:rPr>
        <w:t xml:space="preserve"> </w:t>
      </w:r>
      <w:r w:rsidRPr="001D3CD5">
        <w:rPr>
          <w:color w:val="231F20"/>
          <w:sz w:val="20"/>
          <w:szCs w:val="20"/>
          <w:lang w:val="tr-TR"/>
        </w:rPr>
        <w:t>duyurulur.</w:t>
      </w:r>
    </w:p>
    <w:p w:rsidR="00FA16BB" w:rsidRPr="001D3CD5" w:rsidRDefault="00FA16BB" w:rsidP="009C5096">
      <w:pPr>
        <w:tabs>
          <w:tab w:val="left" w:pos="733"/>
        </w:tabs>
        <w:spacing w:before="41" w:line="264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FA16BB" w:rsidRPr="001D3CD5" w:rsidRDefault="00FA16BB" w:rsidP="009C5096">
      <w:pPr>
        <w:tabs>
          <w:tab w:val="left" w:pos="733"/>
        </w:tabs>
        <w:spacing w:before="41" w:line="264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A63B01" w:rsidRPr="009C5096" w:rsidRDefault="00A63B01" w:rsidP="009C5096">
      <w:pPr>
        <w:spacing w:line="264" w:lineRule="auto"/>
        <w:ind w:right="-567"/>
        <w:jc w:val="both"/>
        <w:rPr>
          <w:rFonts w:ascii="Arial" w:hAnsi="Arial" w:cs="Arial"/>
          <w:sz w:val="20"/>
          <w:szCs w:val="20"/>
        </w:rPr>
        <w:sectPr w:rsidR="00A63B01" w:rsidRPr="009C5096" w:rsidSect="009C5096">
          <w:pgSz w:w="13040" w:h="17980"/>
          <w:pgMar w:top="1520" w:right="1558" w:bottom="1460" w:left="1680" w:header="0" w:footer="1273" w:gutter="0"/>
          <w:cols w:space="708"/>
        </w:sectPr>
      </w:pPr>
    </w:p>
    <w:p w:rsidR="00A63B01" w:rsidRPr="009C5096" w:rsidRDefault="00A63B01" w:rsidP="009C5096">
      <w:pPr>
        <w:pStyle w:val="GvdeMetni"/>
        <w:ind w:right="-567"/>
        <w:jc w:val="both"/>
        <w:rPr>
          <w:sz w:val="20"/>
          <w:szCs w:val="20"/>
        </w:rPr>
      </w:pPr>
    </w:p>
    <w:p w:rsidR="00A63B01" w:rsidRPr="009C5096" w:rsidRDefault="00A63B01" w:rsidP="009C5096">
      <w:pPr>
        <w:pStyle w:val="GvdeMetni"/>
        <w:spacing w:before="8"/>
        <w:ind w:right="-567"/>
        <w:jc w:val="both"/>
        <w:rPr>
          <w:sz w:val="20"/>
          <w:szCs w:val="20"/>
        </w:rPr>
      </w:pPr>
    </w:p>
    <w:p w:rsidR="00A63B01" w:rsidRPr="009C5096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0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Yasal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metroloji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alanında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yetkilendirilecek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uygunluk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degerlendirme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teknik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hizmet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kuruluşlarının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taşıması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gereken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nitelikleri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belirlemek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bunları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görevlendirmek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gerektiginde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görevlendirmeyi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geçici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olarak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durdurmak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veya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iptal</w:t>
      </w:r>
      <w:proofErr w:type="spellEnd"/>
      <w:r w:rsidRPr="009C5096">
        <w:rPr>
          <w:color w:val="231F20"/>
          <w:spacing w:val="-9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etmek</w:t>
      </w:r>
      <w:proofErr w:type="spellEnd"/>
      <w:r w:rsidRPr="009C5096">
        <w:rPr>
          <w:color w:val="231F20"/>
          <w:sz w:val="20"/>
          <w:szCs w:val="20"/>
        </w:rPr>
        <w:t>,</w:t>
      </w:r>
    </w:p>
    <w:p w:rsidR="00A63B01" w:rsidRPr="009C5096" w:rsidRDefault="00A63B01" w:rsidP="009C5096">
      <w:pPr>
        <w:pStyle w:val="ListeParagraf"/>
        <w:numPr>
          <w:ilvl w:val="1"/>
          <w:numId w:val="3"/>
        </w:numPr>
        <w:tabs>
          <w:tab w:val="left" w:pos="733"/>
        </w:tabs>
        <w:spacing w:before="101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Bakan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tarafından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verilen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benzeri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görevleri</w:t>
      </w:r>
      <w:proofErr w:type="spellEnd"/>
      <w:r w:rsidRPr="009C5096">
        <w:rPr>
          <w:color w:val="231F20"/>
          <w:spacing w:val="-4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yapmak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GvdeMetni"/>
        <w:ind w:right="-567"/>
        <w:jc w:val="both"/>
        <w:rPr>
          <w:sz w:val="20"/>
          <w:szCs w:val="20"/>
        </w:rPr>
      </w:pPr>
    </w:p>
    <w:p w:rsidR="00A63B01" w:rsidRPr="009C5096" w:rsidRDefault="00A63B01" w:rsidP="009C5096">
      <w:pPr>
        <w:pStyle w:val="GvdeMetni"/>
        <w:ind w:right="-567"/>
        <w:jc w:val="both"/>
        <w:rPr>
          <w:sz w:val="20"/>
          <w:szCs w:val="20"/>
        </w:rPr>
      </w:pPr>
    </w:p>
    <w:p w:rsidR="00A63B01" w:rsidRPr="009C5096" w:rsidRDefault="00A63B01" w:rsidP="009C5096">
      <w:pPr>
        <w:pStyle w:val="Balk5"/>
        <w:numPr>
          <w:ilvl w:val="1"/>
          <w:numId w:val="4"/>
        </w:numPr>
        <w:tabs>
          <w:tab w:val="left" w:pos="733"/>
        </w:tabs>
        <w:spacing w:before="168"/>
        <w:ind w:left="0" w:right="-567" w:firstLine="0"/>
        <w:jc w:val="both"/>
        <w:rPr>
          <w:sz w:val="20"/>
          <w:szCs w:val="20"/>
        </w:rPr>
      </w:pPr>
      <w:bookmarkStart w:id="1" w:name="_TOC_250117"/>
      <w:r w:rsidRPr="009C5096">
        <w:rPr>
          <w:color w:val="EF3B23"/>
          <w:sz w:val="20"/>
          <w:szCs w:val="20"/>
        </w:rPr>
        <w:t>TÜRK AKREDITASYON KURUMU</w:t>
      </w:r>
      <w:r w:rsidRPr="009C5096">
        <w:rPr>
          <w:color w:val="EF3B23"/>
          <w:spacing w:val="4"/>
          <w:sz w:val="20"/>
          <w:szCs w:val="20"/>
        </w:rPr>
        <w:t xml:space="preserve"> </w:t>
      </w:r>
      <w:bookmarkEnd w:id="1"/>
      <w:r w:rsidRPr="009C5096">
        <w:rPr>
          <w:color w:val="EF3B23"/>
          <w:sz w:val="20"/>
          <w:szCs w:val="20"/>
        </w:rPr>
        <w:t>(TÜRKAK)</w:t>
      </w:r>
    </w:p>
    <w:p w:rsidR="00A63B01" w:rsidRPr="009C5096" w:rsidRDefault="00A63B01" w:rsidP="009C5096">
      <w:pPr>
        <w:pStyle w:val="GvdeMetni"/>
        <w:spacing w:before="187" w:line="264" w:lineRule="auto"/>
        <w:ind w:right="-567"/>
        <w:jc w:val="both"/>
        <w:rPr>
          <w:sz w:val="20"/>
          <w:szCs w:val="20"/>
        </w:rPr>
      </w:pPr>
      <w:r w:rsidRPr="009C5096">
        <w:rPr>
          <w:color w:val="231F20"/>
          <w:sz w:val="20"/>
          <w:szCs w:val="20"/>
        </w:rPr>
        <w:t xml:space="preserve">TÜRKAK, </w:t>
      </w:r>
      <w:proofErr w:type="spellStart"/>
      <w:r w:rsidRPr="009C5096">
        <w:rPr>
          <w:color w:val="231F20"/>
          <w:sz w:val="20"/>
          <w:szCs w:val="20"/>
        </w:rPr>
        <w:t>uygunluk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degerlendirmesi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alanında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ülkemizdeki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ulusal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kuruluşu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olup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ülkemizde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üretilen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malların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piyasalarda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dolaşımı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için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anlaşmaların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öngördügü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şekilde</w:t>
      </w:r>
      <w:proofErr w:type="spellEnd"/>
      <w:r w:rsidRPr="009C5096">
        <w:rPr>
          <w:color w:val="231F20"/>
          <w:sz w:val="20"/>
          <w:szCs w:val="20"/>
        </w:rPr>
        <w:t xml:space="preserve">; </w:t>
      </w:r>
      <w:proofErr w:type="spellStart"/>
      <w:r w:rsidRPr="009C5096">
        <w:rPr>
          <w:color w:val="231F20"/>
          <w:sz w:val="20"/>
          <w:szCs w:val="20"/>
        </w:rPr>
        <w:t>güvenilir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şeffaf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uygunluk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degerlendirmesi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işlemlerinden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geçirilerek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rapor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belgelerin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tanzim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edilmesini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saglamak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amacıyla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faaliyet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gösterir</w:t>
      </w:r>
      <w:proofErr w:type="spellEnd"/>
      <w:r w:rsidRPr="009C5096">
        <w:rPr>
          <w:color w:val="231F20"/>
          <w:sz w:val="20"/>
          <w:szCs w:val="20"/>
        </w:rPr>
        <w:t xml:space="preserve">. TÜRKAK, </w:t>
      </w:r>
      <w:proofErr w:type="spellStart"/>
      <w:r w:rsidRPr="009C5096">
        <w:rPr>
          <w:color w:val="231F20"/>
          <w:sz w:val="20"/>
          <w:szCs w:val="20"/>
        </w:rPr>
        <w:t>Avrupa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Birligi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Bakanlıgı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özel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hukuk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hükümlerine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tabi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tüzel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kişiligi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haiz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idari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proofErr w:type="gramStart"/>
      <w:r w:rsidRPr="009C5096">
        <w:rPr>
          <w:color w:val="231F20"/>
          <w:sz w:val="20"/>
          <w:szCs w:val="20"/>
        </w:rPr>
        <w:t>mali</w:t>
      </w:r>
      <w:proofErr w:type="spellEnd"/>
      <w:proofErr w:type="gram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özerklige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sahip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kurumdur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Balk8"/>
        <w:numPr>
          <w:ilvl w:val="0"/>
          <w:numId w:val="2"/>
        </w:numPr>
        <w:tabs>
          <w:tab w:val="left" w:pos="732"/>
          <w:tab w:val="left" w:pos="733"/>
        </w:tabs>
        <w:spacing w:before="120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Görev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pacing w:val="-3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Sorumlulukları</w:t>
      </w:r>
      <w:proofErr w:type="spellEnd"/>
    </w:p>
    <w:p w:rsidR="00A63B01" w:rsidRPr="009C5096" w:rsidRDefault="00A63B01" w:rsidP="009C5096">
      <w:pPr>
        <w:pStyle w:val="GvdeMetni"/>
        <w:spacing w:before="119" w:line="264" w:lineRule="auto"/>
        <w:ind w:right="-567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Türk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Kurumu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Hakkında</w:t>
      </w:r>
      <w:proofErr w:type="spellEnd"/>
      <w:r w:rsidRPr="009C5096">
        <w:rPr>
          <w:color w:val="231F20"/>
          <w:sz w:val="20"/>
          <w:szCs w:val="20"/>
        </w:rPr>
        <w:t xml:space="preserve"> 27 </w:t>
      </w:r>
      <w:proofErr w:type="spellStart"/>
      <w:r w:rsidRPr="009C5096">
        <w:rPr>
          <w:color w:val="231F20"/>
          <w:sz w:val="20"/>
          <w:szCs w:val="20"/>
        </w:rPr>
        <w:t>Ekim</w:t>
      </w:r>
      <w:proofErr w:type="spellEnd"/>
      <w:r w:rsidRPr="009C5096">
        <w:rPr>
          <w:color w:val="231F20"/>
          <w:sz w:val="20"/>
          <w:szCs w:val="20"/>
        </w:rPr>
        <w:t xml:space="preserve"> 1999 </w:t>
      </w:r>
      <w:proofErr w:type="spellStart"/>
      <w:r w:rsidRPr="009C5096">
        <w:rPr>
          <w:color w:val="231F20"/>
          <w:sz w:val="20"/>
          <w:szCs w:val="20"/>
        </w:rPr>
        <w:t>tarih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23866 </w:t>
      </w:r>
      <w:proofErr w:type="spellStart"/>
      <w:r w:rsidRPr="009C5096">
        <w:rPr>
          <w:color w:val="231F20"/>
          <w:sz w:val="20"/>
          <w:szCs w:val="20"/>
        </w:rPr>
        <w:t>sayılı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Resmi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Gazete’de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yayımlanan</w:t>
      </w:r>
      <w:proofErr w:type="spellEnd"/>
      <w:r w:rsidRPr="009C5096">
        <w:rPr>
          <w:color w:val="231F20"/>
          <w:sz w:val="20"/>
          <w:szCs w:val="20"/>
        </w:rPr>
        <w:t xml:space="preserve"> 4457 </w:t>
      </w:r>
      <w:proofErr w:type="spellStart"/>
      <w:r w:rsidRPr="009C5096">
        <w:rPr>
          <w:color w:val="231F20"/>
          <w:sz w:val="20"/>
          <w:szCs w:val="20"/>
        </w:rPr>
        <w:t>sayılı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Kanun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29.06.2012 </w:t>
      </w:r>
      <w:proofErr w:type="spellStart"/>
      <w:r w:rsidRPr="009C5096">
        <w:rPr>
          <w:color w:val="231F20"/>
          <w:sz w:val="20"/>
          <w:szCs w:val="20"/>
        </w:rPr>
        <w:t>tarihli</w:t>
      </w:r>
      <w:proofErr w:type="spellEnd"/>
      <w:r w:rsidRPr="009C5096">
        <w:rPr>
          <w:color w:val="231F20"/>
          <w:sz w:val="20"/>
          <w:szCs w:val="20"/>
        </w:rPr>
        <w:t xml:space="preserve"> 6337 </w:t>
      </w:r>
      <w:proofErr w:type="spellStart"/>
      <w:r w:rsidRPr="009C5096">
        <w:rPr>
          <w:color w:val="231F20"/>
          <w:sz w:val="20"/>
          <w:szCs w:val="20"/>
        </w:rPr>
        <w:t>sayılı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kanunda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yapılan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degişiklikler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belirlenen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TÜRKAK’ın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aşagıda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verilmektedir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121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Ülkemizde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uygunluk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degerlendirme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kuruluşlarına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hizmeti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sunan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tek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olarak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faaliyetleri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düzenlemeleri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yapmak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gerekli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kıstas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tedbirleri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belirlemek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bunları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uygulamak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gerektiginde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degiştirmek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yürürlükten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kaldırmak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önlemleri</w:t>
      </w:r>
      <w:proofErr w:type="spellEnd"/>
      <w:r w:rsidRPr="009C5096">
        <w:rPr>
          <w:color w:val="231F20"/>
          <w:spacing w:val="2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41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Akredite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edilmek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üzere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başvuran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standartlara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ölçütlere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denetimini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yapmak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bu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denetim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sonucunda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kuruluşun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edilip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edilmemesine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karar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vermek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akredite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izlemek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akreditasyonun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kapsamını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degiştirmek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gerektiginde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akreditasyonu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askıya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veya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iptal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etmek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arasında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Kurumun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alanına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giren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konularda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işbirligini</w:t>
      </w:r>
      <w:proofErr w:type="spellEnd"/>
      <w:r w:rsidRPr="009C5096">
        <w:rPr>
          <w:color w:val="231F20"/>
          <w:spacing w:val="-15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saglamak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4"/>
        </w:tabs>
        <w:spacing w:before="39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Uluslararası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bölgesel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birlikleri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örgütleri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ülkelerin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kuruluşu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bulunmayan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ülkelerdeki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akreditasyonla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kuruluşlarla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ilişkiler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kurmak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iş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birliginde</w:t>
      </w:r>
      <w:proofErr w:type="spellEnd"/>
      <w:r w:rsidRPr="009C5096">
        <w:rPr>
          <w:color w:val="231F20"/>
          <w:spacing w:val="-9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bulunmak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41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Akreditasyon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amacıyla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başvuran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kuruluşların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müracaatı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degerlendirilmesi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akredite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edilmesi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olarak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elde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edilmiş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bilgilerin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gizliligini</w:t>
      </w:r>
      <w:proofErr w:type="spellEnd"/>
      <w:r w:rsidRPr="009C5096">
        <w:rPr>
          <w:color w:val="231F20"/>
          <w:spacing w:val="-4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korumak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41" w:line="261" w:lineRule="auto"/>
        <w:ind w:left="0" w:right="-567" w:firstLine="0"/>
        <w:jc w:val="both"/>
        <w:rPr>
          <w:sz w:val="20"/>
          <w:szCs w:val="20"/>
        </w:rPr>
      </w:pPr>
      <w:r w:rsidRPr="009C5096">
        <w:rPr>
          <w:color w:val="231F20"/>
          <w:sz w:val="20"/>
          <w:szCs w:val="20"/>
        </w:rPr>
        <w:t xml:space="preserve">Yurt </w:t>
      </w:r>
      <w:proofErr w:type="spellStart"/>
      <w:r w:rsidRPr="009C5096">
        <w:rPr>
          <w:color w:val="231F20"/>
          <w:sz w:val="20"/>
          <w:szCs w:val="20"/>
        </w:rPr>
        <w:t>içinde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yurt </w:t>
      </w:r>
      <w:proofErr w:type="spellStart"/>
      <w:r w:rsidRPr="009C5096">
        <w:rPr>
          <w:color w:val="231F20"/>
          <w:sz w:val="20"/>
          <w:szCs w:val="20"/>
        </w:rPr>
        <w:t>dışında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akreditasyonun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önemini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kalite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bilincini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artırıcı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faaliyetlerde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bulunmak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görev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alanına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giren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konularda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egitim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vermek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araştırma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yayın</w:t>
      </w:r>
      <w:proofErr w:type="spellEnd"/>
      <w:r w:rsidRPr="009C5096">
        <w:rPr>
          <w:color w:val="231F20"/>
          <w:spacing w:val="-23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yapmak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44" w:line="264" w:lineRule="auto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Kurum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faaliyetlerinin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icrası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için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hizmet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almak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taşınır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taşınmaz</w:t>
      </w:r>
      <w:proofErr w:type="spellEnd"/>
      <w:r w:rsidRPr="009C5096">
        <w:rPr>
          <w:color w:val="231F20"/>
          <w:sz w:val="20"/>
          <w:szCs w:val="20"/>
        </w:rPr>
        <w:t xml:space="preserve"> mal satın </w:t>
      </w:r>
      <w:proofErr w:type="spellStart"/>
      <w:r w:rsidRPr="009C5096">
        <w:rPr>
          <w:color w:val="231F20"/>
          <w:sz w:val="20"/>
          <w:szCs w:val="20"/>
        </w:rPr>
        <w:t>almak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yaptırmak</w:t>
      </w:r>
      <w:proofErr w:type="spellEnd"/>
      <w:r w:rsidRPr="009C5096">
        <w:rPr>
          <w:color w:val="231F20"/>
          <w:sz w:val="20"/>
          <w:szCs w:val="20"/>
        </w:rPr>
        <w:t xml:space="preserve">, </w:t>
      </w:r>
      <w:proofErr w:type="spellStart"/>
      <w:r w:rsidRPr="009C5096">
        <w:rPr>
          <w:color w:val="231F20"/>
          <w:sz w:val="20"/>
          <w:szCs w:val="20"/>
        </w:rPr>
        <w:t>satmak</w:t>
      </w:r>
      <w:proofErr w:type="spellEnd"/>
      <w:r w:rsidRPr="009C5096">
        <w:rPr>
          <w:color w:val="231F20"/>
          <w:sz w:val="20"/>
          <w:szCs w:val="20"/>
        </w:rPr>
        <w:t>,</w:t>
      </w:r>
      <w:r w:rsidRPr="009C5096">
        <w:rPr>
          <w:color w:val="231F20"/>
          <w:spacing w:val="-5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kiralamak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41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Iyi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laboratuvar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uygulamaları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konusunda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ulusal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izleme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otoritesi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olarak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hizmet</w:t>
      </w:r>
      <w:proofErr w:type="spellEnd"/>
      <w:r w:rsidRPr="009C5096">
        <w:rPr>
          <w:color w:val="231F20"/>
          <w:spacing w:val="-17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vermek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pStyle w:val="ListeParagraf"/>
        <w:numPr>
          <w:ilvl w:val="1"/>
          <w:numId w:val="2"/>
        </w:numPr>
        <w:tabs>
          <w:tab w:val="left" w:pos="733"/>
        </w:tabs>
        <w:spacing w:before="64"/>
        <w:ind w:left="0" w:right="-567" w:firstLine="0"/>
        <w:jc w:val="both"/>
        <w:rPr>
          <w:sz w:val="20"/>
          <w:szCs w:val="20"/>
        </w:rPr>
      </w:pPr>
      <w:proofErr w:type="spellStart"/>
      <w:r w:rsidRPr="009C5096">
        <w:rPr>
          <w:color w:val="231F20"/>
          <w:sz w:val="20"/>
          <w:szCs w:val="20"/>
        </w:rPr>
        <w:t>Faaliyet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alanıyla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ilgili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diger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görevleri</w:t>
      </w:r>
      <w:proofErr w:type="spellEnd"/>
      <w:r w:rsidRPr="009C5096">
        <w:rPr>
          <w:color w:val="231F20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yerine</w:t>
      </w:r>
      <w:proofErr w:type="spellEnd"/>
      <w:r w:rsidRPr="009C5096">
        <w:rPr>
          <w:color w:val="231F20"/>
          <w:spacing w:val="-2"/>
          <w:sz w:val="20"/>
          <w:szCs w:val="20"/>
        </w:rPr>
        <w:t xml:space="preserve"> </w:t>
      </w:r>
      <w:proofErr w:type="spellStart"/>
      <w:r w:rsidRPr="009C5096">
        <w:rPr>
          <w:color w:val="231F20"/>
          <w:sz w:val="20"/>
          <w:szCs w:val="20"/>
        </w:rPr>
        <w:t>getirmek</w:t>
      </w:r>
      <w:proofErr w:type="spellEnd"/>
      <w:r w:rsidRPr="009C5096">
        <w:rPr>
          <w:color w:val="231F20"/>
          <w:sz w:val="20"/>
          <w:szCs w:val="20"/>
        </w:rPr>
        <w:t>.</w:t>
      </w:r>
    </w:p>
    <w:p w:rsidR="00A63B01" w:rsidRPr="009C5096" w:rsidRDefault="00A63B01" w:rsidP="009C5096">
      <w:pPr>
        <w:ind w:right="-567"/>
        <w:jc w:val="both"/>
        <w:rPr>
          <w:rFonts w:ascii="Arial" w:hAnsi="Arial" w:cs="Arial"/>
          <w:sz w:val="20"/>
          <w:szCs w:val="20"/>
        </w:rPr>
      </w:pPr>
    </w:p>
    <w:sectPr w:rsidR="00A63B01" w:rsidRPr="009C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F0" w:rsidRDefault="009706F0" w:rsidP="00402D9C">
      <w:pPr>
        <w:spacing w:after="0" w:line="240" w:lineRule="auto"/>
      </w:pPr>
      <w:r>
        <w:separator/>
      </w:r>
    </w:p>
  </w:endnote>
  <w:endnote w:type="continuationSeparator" w:id="0">
    <w:p w:rsidR="009706F0" w:rsidRDefault="009706F0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F0" w:rsidRDefault="009706F0" w:rsidP="00402D9C">
      <w:pPr>
        <w:spacing w:after="0" w:line="240" w:lineRule="auto"/>
      </w:pPr>
      <w:r>
        <w:separator/>
      </w:r>
    </w:p>
  </w:footnote>
  <w:footnote w:type="continuationSeparator" w:id="0">
    <w:p w:rsidR="009706F0" w:rsidRDefault="009706F0" w:rsidP="00402D9C">
      <w:pPr>
        <w:spacing w:after="0" w:line="240" w:lineRule="auto"/>
      </w:pPr>
      <w:r>
        <w:continuationSeparator/>
      </w:r>
    </w:p>
  </w:footnote>
  <w:footnote w:id="1">
    <w:p w:rsidR="00402D9C" w:rsidRDefault="00402D9C" w:rsidP="00402D9C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402D9C" w:rsidRDefault="00402D9C">
      <w:pPr>
        <w:pStyle w:val="DipnotMetni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5"/>
    <w:multiLevelType w:val="hybridMultilevel"/>
    <w:tmpl w:val="832A45CC"/>
    <w:lvl w:ilvl="0" w:tplc="200A695A">
      <w:start w:val="1"/>
      <w:numFmt w:val="lowerRoman"/>
      <w:lvlText w:val="%1."/>
      <w:lvlJc w:val="left"/>
      <w:pPr>
        <w:ind w:left="871" w:hanging="253"/>
        <w:jc w:val="righ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1" w:tplc="28324BFE">
      <w:numFmt w:val="bullet"/>
      <w:lvlText w:val="•"/>
      <w:lvlJc w:val="left"/>
      <w:pPr>
        <w:ind w:left="1927" w:hanging="253"/>
      </w:pPr>
      <w:rPr>
        <w:rFonts w:hint="default"/>
      </w:rPr>
    </w:lvl>
    <w:lvl w:ilvl="2" w:tplc="AEE40070">
      <w:numFmt w:val="bullet"/>
      <w:lvlText w:val="•"/>
      <w:lvlJc w:val="left"/>
      <w:pPr>
        <w:ind w:left="2975" w:hanging="253"/>
      </w:pPr>
      <w:rPr>
        <w:rFonts w:hint="default"/>
      </w:rPr>
    </w:lvl>
    <w:lvl w:ilvl="3" w:tplc="290065A0">
      <w:numFmt w:val="bullet"/>
      <w:lvlText w:val="•"/>
      <w:lvlJc w:val="left"/>
      <w:pPr>
        <w:ind w:left="4023" w:hanging="253"/>
      </w:pPr>
      <w:rPr>
        <w:rFonts w:hint="default"/>
      </w:rPr>
    </w:lvl>
    <w:lvl w:ilvl="4" w:tplc="4B6008D4">
      <w:numFmt w:val="bullet"/>
      <w:lvlText w:val="•"/>
      <w:lvlJc w:val="left"/>
      <w:pPr>
        <w:ind w:left="5071" w:hanging="253"/>
      </w:pPr>
      <w:rPr>
        <w:rFonts w:hint="default"/>
      </w:rPr>
    </w:lvl>
    <w:lvl w:ilvl="5" w:tplc="05667222">
      <w:numFmt w:val="bullet"/>
      <w:lvlText w:val="•"/>
      <w:lvlJc w:val="left"/>
      <w:pPr>
        <w:ind w:left="6119" w:hanging="253"/>
      </w:pPr>
      <w:rPr>
        <w:rFonts w:hint="default"/>
      </w:rPr>
    </w:lvl>
    <w:lvl w:ilvl="6" w:tplc="09789832">
      <w:numFmt w:val="bullet"/>
      <w:lvlText w:val="•"/>
      <w:lvlJc w:val="left"/>
      <w:pPr>
        <w:ind w:left="7167" w:hanging="253"/>
      </w:pPr>
      <w:rPr>
        <w:rFonts w:hint="default"/>
      </w:rPr>
    </w:lvl>
    <w:lvl w:ilvl="7" w:tplc="392E2B14">
      <w:numFmt w:val="bullet"/>
      <w:lvlText w:val="•"/>
      <w:lvlJc w:val="left"/>
      <w:pPr>
        <w:ind w:left="8215" w:hanging="253"/>
      </w:pPr>
      <w:rPr>
        <w:rFonts w:hint="default"/>
      </w:rPr>
    </w:lvl>
    <w:lvl w:ilvl="8" w:tplc="0526E41A">
      <w:numFmt w:val="bullet"/>
      <w:lvlText w:val="•"/>
      <w:lvlJc w:val="left"/>
      <w:pPr>
        <w:ind w:left="9263" w:hanging="253"/>
      </w:pPr>
      <w:rPr>
        <w:rFonts w:hint="default"/>
      </w:rPr>
    </w:lvl>
  </w:abstractNum>
  <w:abstractNum w:abstractNumId="1" w15:restartNumberingAfterBreak="0">
    <w:nsid w:val="2CED48E4"/>
    <w:multiLevelType w:val="multilevel"/>
    <w:tmpl w:val="C2F24984"/>
    <w:lvl w:ilvl="0">
      <w:start w:val="2"/>
      <w:numFmt w:val="decimal"/>
      <w:lvlText w:val="%1."/>
      <w:lvlJc w:val="left"/>
      <w:pPr>
        <w:ind w:left="736" w:hanging="427"/>
        <w:jc w:val="left"/>
      </w:pPr>
      <w:rPr>
        <w:rFonts w:ascii="Arial" w:eastAsia="Arial" w:hAnsi="Arial" w:cs="Arial" w:hint="default"/>
        <w:b/>
        <w:bCs/>
        <w:color w:val="EF3B23"/>
        <w:spacing w:val="-1"/>
        <w:w w:val="99"/>
        <w:sz w:val="44"/>
        <w:szCs w:val="44"/>
      </w:rPr>
    </w:lvl>
    <w:lvl w:ilvl="1">
      <w:start w:val="1"/>
      <w:numFmt w:val="decimal"/>
      <w:lvlText w:val="%1.%2."/>
      <w:lvlJc w:val="left"/>
      <w:pPr>
        <w:ind w:left="426" w:hanging="426"/>
        <w:jc w:val="left"/>
      </w:pPr>
      <w:rPr>
        <w:rFonts w:ascii="Arial" w:eastAsia="Arial" w:hAnsi="Arial" w:cs="Arial" w:hint="default"/>
        <w:b/>
        <w:bCs/>
        <w:color w:val="EF3B23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732" w:hanging="286"/>
        <w:jc w:val="left"/>
      </w:pPr>
      <w:rPr>
        <w:rFonts w:ascii="Arial" w:eastAsia="Arial" w:hAnsi="Arial" w:cs="Arial" w:hint="default"/>
        <w:i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414" w:hanging="286"/>
      </w:pPr>
      <w:rPr>
        <w:rFonts w:hint="default"/>
      </w:rPr>
    </w:lvl>
    <w:lvl w:ilvl="4">
      <w:numFmt w:val="bullet"/>
      <w:lvlText w:val="•"/>
      <w:lvlJc w:val="left"/>
      <w:pPr>
        <w:ind w:left="1639" w:hanging="286"/>
      </w:pPr>
      <w:rPr>
        <w:rFonts w:hint="default"/>
      </w:rPr>
    </w:lvl>
    <w:lvl w:ilvl="5">
      <w:numFmt w:val="bullet"/>
      <w:lvlText w:val="•"/>
      <w:lvlJc w:val="left"/>
      <w:pPr>
        <w:ind w:left="1864" w:hanging="286"/>
      </w:pPr>
      <w:rPr>
        <w:rFonts w:hint="default"/>
      </w:rPr>
    </w:lvl>
    <w:lvl w:ilvl="6">
      <w:numFmt w:val="bullet"/>
      <w:lvlText w:val="•"/>
      <w:lvlJc w:val="left"/>
      <w:pPr>
        <w:ind w:left="2088" w:hanging="286"/>
      </w:pPr>
      <w:rPr>
        <w:rFonts w:hint="default"/>
      </w:rPr>
    </w:lvl>
    <w:lvl w:ilvl="7">
      <w:numFmt w:val="bullet"/>
      <w:lvlText w:val="•"/>
      <w:lvlJc w:val="left"/>
      <w:pPr>
        <w:ind w:left="2313" w:hanging="286"/>
      </w:pPr>
      <w:rPr>
        <w:rFonts w:hint="default"/>
      </w:rPr>
    </w:lvl>
    <w:lvl w:ilvl="8">
      <w:numFmt w:val="bullet"/>
      <w:lvlText w:val="•"/>
      <w:lvlJc w:val="left"/>
      <w:pPr>
        <w:ind w:left="2538" w:hanging="286"/>
      </w:pPr>
      <w:rPr>
        <w:rFonts w:hint="default"/>
      </w:rPr>
    </w:lvl>
  </w:abstractNum>
  <w:abstractNum w:abstractNumId="2" w15:restartNumberingAfterBreak="0">
    <w:nsid w:val="4D8B244A"/>
    <w:multiLevelType w:val="hybridMultilevel"/>
    <w:tmpl w:val="D25A4236"/>
    <w:lvl w:ilvl="0" w:tplc="942AB2A8">
      <w:start w:val="1"/>
      <w:numFmt w:val="lowerLetter"/>
      <w:lvlText w:val="%1)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</w:rPr>
    </w:lvl>
    <w:lvl w:ilvl="1" w:tplc="5352FBFE">
      <w:start w:val="1"/>
      <w:numFmt w:val="lowerRoman"/>
      <w:lvlText w:val="%2."/>
      <w:lvlJc w:val="left"/>
      <w:pPr>
        <w:ind w:left="732" w:hanging="256"/>
        <w:jc w:val="right"/>
      </w:pPr>
      <w:rPr>
        <w:rFonts w:ascii="Arial" w:eastAsia="Arial" w:hAnsi="Arial" w:cs="Arial" w:hint="default"/>
        <w:color w:val="231F20"/>
        <w:w w:val="100"/>
        <w:sz w:val="22"/>
        <w:szCs w:val="22"/>
      </w:rPr>
    </w:lvl>
    <w:lvl w:ilvl="2" w:tplc="FA3214CC">
      <w:numFmt w:val="bullet"/>
      <w:lvlText w:val="•"/>
      <w:lvlJc w:val="left"/>
      <w:pPr>
        <w:ind w:left="2863" w:hanging="256"/>
      </w:pPr>
      <w:rPr>
        <w:rFonts w:hint="default"/>
      </w:rPr>
    </w:lvl>
    <w:lvl w:ilvl="3" w:tplc="50289358">
      <w:numFmt w:val="bullet"/>
      <w:lvlText w:val="•"/>
      <w:lvlJc w:val="left"/>
      <w:pPr>
        <w:ind w:left="3925" w:hanging="256"/>
      </w:pPr>
      <w:rPr>
        <w:rFonts w:hint="default"/>
      </w:rPr>
    </w:lvl>
    <w:lvl w:ilvl="4" w:tplc="3578BE5E">
      <w:numFmt w:val="bullet"/>
      <w:lvlText w:val="•"/>
      <w:lvlJc w:val="left"/>
      <w:pPr>
        <w:ind w:left="4987" w:hanging="256"/>
      </w:pPr>
      <w:rPr>
        <w:rFonts w:hint="default"/>
      </w:rPr>
    </w:lvl>
    <w:lvl w:ilvl="5" w:tplc="D3841EFA">
      <w:numFmt w:val="bullet"/>
      <w:lvlText w:val="•"/>
      <w:lvlJc w:val="left"/>
      <w:pPr>
        <w:ind w:left="6049" w:hanging="256"/>
      </w:pPr>
      <w:rPr>
        <w:rFonts w:hint="default"/>
      </w:rPr>
    </w:lvl>
    <w:lvl w:ilvl="6" w:tplc="BD3C4888">
      <w:numFmt w:val="bullet"/>
      <w:lvlText w:val="•"/>
      <w:lvlJc w:val="left"/>
      <w:pPr>
        <w:ind w:left="7111" w:hanging="256"/>
      </w:pPr>
      <w:rPr>
        <w:rFonts w:hint="default"/>
      </w:rPr>
    </w:lvl>
    <w:lvl w:ilvl="7" w:tplc="0876E4B0">
      <w:numFmt w:val="bullet"/>
      <w:lvlText w:val="•"/>
      <w:lvlJc w:val="left"/>
      <w:pPr>
        <w:ind w:left="8173" w:hanging="256"/>
      </w:pPr>
      <w:rPr>
        <w:rFonts w:hint="default"/>
      </w:rPr>
    </w:lvl>
    <w:lvl w:ilvl="8" w:tplc="C8C6FBF0">
      <w:numFmt w:val="bullet"/>
      <w:lvlText w:val="•"/>
      <w:lvlJc w:val="left"/>
      <w:pPr>
        <w:ind w:left="9235" w:hanging="256"/>
      </w:pPr>
      <w:rPr>
        <w:rFonts w:hint="default"/>
      </w:rPr>
    </w:lvl>
  </w:abstractNum>
  <w:abstractNum w:abstractNumId="3" w15:restartNumberingAfterBreak="0">
    <w:nsid w:val="6D40753E"/>
    <w:multiLevelType w:val="hybridMultilevel"/>
    <w:tmpl w:val="500AF820"/>
    <w:lvl w:ilvl="0" w:tplc="989C224C">
      <w:start w:val="1"/>
      <w:numFmt w:val="lowerLetter"/>
      <w:lvlText w:val="%1)"/>
      <w:lvlJc w:val="left"/>
      <w:pPr>
        <w:ind w:left="588" w:hanging="284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</w:rPr>
    </w:lvl>
    <w:lvl w:ilvl="1" w:tplc="17BCF210">
      <w:start w:val="1"/>
      <w:numFmt w:val="lowerRoman"/>
      <w:lvlText w:val="%2."/>
      <w:lvlJc w:val="left"/>
      <w:pPr>
        <w:ind w:left="732" w:hanging="243"/>
        <w:jc w:val="right"/>
      </w:pPr>
      <w:rPr>
        <w:rFonts w:ascii="Arial" w:eastAsia="Arial" w:hAnsi="Arial" w:cs="Arial" w:hint="default"/>
        <w:color w:val="231F20"/>
        <w:spacing w:val="-2"/>
        <w:w w:val="99"/>
        <w:sz w:val="20"/>
        <w:szCs w:val="20"/>
      </w:rPr>
    </w:lvl>
    <w:lvl w:ilvl="2" w:tplc="D1C29356">
      <w:numFmt w:val="bullet"/>
      <w:lvlText w:val="•"/>
      <w:lvlJc w:val="left"/>
      <w:pPr>
        <w:ind w:left="1919" w:hanging="243"/>
      </w:pPr>
      <w:rPr>
        <w:rFonts w:hint="default"/>
      </w:rPr>
    </w:lvl>
    <w:lvl w:ilvl="3" w:tplc="ECFADBEE">
      <w:numFmt w:val="bullet"/>
      <w:lvlText w:val="•"/>
      <w:lvlJc w:val="left"/>
      <w:pPr>
        <w:ind w:left="3099" w:hanging="243"/>
      </w:pPr>
      <w:rPr>
        <w:rFonts w:hint="default"/>
      </w:rPr>
    </w:lvl>
    <w:lvl w:ilvl="4" w:tplc="F0E296D2">
      <w:numFmt w:val="bullet"/>
      <w:lvlText w:val="•"/>
      <w:lvlJc w:val="left"/>
      <w:pPr>
        <w:ind w:left="4279" w:hanging="243"/>
      </w:pPr>
      <w:rPr>
        <w:rFonts w:hint="default"/>
      </w:rPr>
    </w:lvl>
    <w:lvl w:ilvl="5" w:tplc="5ABC5AFC">
      <w:numFmt w:val="bullet"/>
      <w:lvlText w:val="•"/>
      <w:lvlJc w:val="left"/>
      <w:pPr>
        <w:ind w:left="5459" w:hanging="243"/>
      </w:pPr>
      <w:rPr>
        <w:rFonts w:hint="default"/>
      </w:rPr>
    </w:lvl>
    <w:lvl w:ilvl="6" w:tplc="DF1A6866">
      <w:numFmt w:val="bullet"/>
      <w:lvlText w:val="•"/>
      <w:lvlJc w:val="left"/>
      <w:pPr>
        <w:ind w:left="6639" w:hanging="243"/>
      </w:pPr>
      <w:rPr>
        <w:rFonts w:hint="default"/>
      </w:rPr>
    </w:lvl>
    <w:lvl w:ilvl="7" w:tplc="71121912">
      <w:numFmt w:val="bullet"/>
      <w:lvlText w:val="•"/>
      <w:lvlJc w:val="left"/>
      <w:pPr>
        <w:ind w:left="7819" w:hanging="243"/>
      </w:pPr>
      <w:rPr>
        <w:rFonts w:hint="default"/>
      </w:rPr>
    </w:lvl>
    <w:lvl w:ilvl="8" w:tplc="1890BB72">
      <w:numFmt w:val="bullet"/>
      <w:lvlText w:val="•"/>
      <w:lvlJc w:val="left"/>
      <w:pPr>
        <w:ind w:left="8999" w:hanging="243"/>
      </w:pPr>
      <w:rPr>
        <w:rFonts w:hint="default"/>
      </w:rPr>
    </w:lvl>
  </w:abstractNum>
  <w:abstractNum w:abstractNumId="4" w15:restartNumberingAfterBreak="0">
    <w:nsid w:val="76502078"/>
    <w:multiLevelType w:val="hybridMultilevel"/>
    <w:tmpl w:val="85BE2DD6"/>
    <w:lvl w:ilvl="0" w:tplc="B1A80188">
      <w:start w:val="1"/>
      <w:numFmt w:val="lowerLetter"/>
      <w:lvlText w:val="%1)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</w:rPr>
    </w:lvl>
    <w:lvl w:ilvl="1" w:tplc="03122726">
      <w:start w:val="1"/>
      <w:numFmt w:val="lowerRoman"/>
      <w:lvlText w:val="%2."/>
      <w:lvlJc w:val="left"/>
      <w:pPr>
        <w:ind w:left="732" w:hanging="255"/>
        <w:jc w:val="righ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 w:tplc="5D3AE9E6">
      <w:numFmt w:val="bullet"/>
      <w:lvlText w:val="•"/>
      <w:lvlJc w:val="left"/>
      <w:pPr>
        <w:ind w:left="2863" w:hanging="255"/>
      </w:pPr>
      <w:rPr>
        <w:rFonts w:hint="default"/>
      </w:rPr>
    </w:lvl>
    <w:lvl w:ilvl="3" w:tplc="BD8C3186">
      <w:numFmt w:val="bullet"/>
      <w:lvlText w:val="•"/>
      <w:lvlJc w:val="left"/>
      <w:pPr>
        <w:ind w:left="3925" w:hanging="255"/>
      </w:pPr>
      <w:rPr>
        <w:rFonts w:hint="default"/>
      </w:rPr>
    </w:lvl>
    <w:lvl w:ilvl="4" w:tplc="2BF228A4">
      <w:numFmt w:val="bullet"/>
      <w:lvlText w:val="•"/>
      <w:lvlJc w:val="left"/>
      <w:pPr>
        <w:ind w:left="4987" w:hanging="255"/>
      </w:pPr>
      <w:rPr>
        <w:rFonts w:hint="default"/>
      </w:rPr>
    </w:lvl>
    <w:lvl w:ilvl="5" w:tplc="A57AE180">
      <w:numFmt w:val="bullet"/>
      <w:lvlText w:val="•"/>
      <w:lvlJc w:val="left"/>
      <w:pPr>
        <w:ind w:left="6049" w:hanging="255"/>
      </w:pPr>
      <w:rPr>
        <w:rFonts w:hint="default"/>
      </w:rPr>
    </w:lvl>
    <w:lvl w:ilvl="6" w:tplc="8CAE5C94">
      <w:numFmt w:val="bullet"/>
      <w:lvlText w:val="•"/>
      <w:lvlJc w:val="left"/>
      <w:pPr>
        <w:ind w:left="7111" w:hanging="255"/>
      </w:pPr>
      <w:rPr>
        <w:rFonts w:hint="default"/>
      </w:rPr>
    </w:lvl>
    <w:lvl w:ilvl="7" w:tplc="1CD8CF2A">
      <w:numFmt w:val="bullet"/>
      <w:lvlText w:val="•"/>
      <w:lvlJc w:val="left"/>
      <w:pPr>
        <w:ind w:left="8173" w:hanging="255"/>
      </w:pPr>
      <w:rPr>
        <w:rFonts w:hint="default"/>
      </w:rPr>
    </w:lvl>
    <w:lvl w:ilvl="8" w:tplc="3510F490">
      <w:numFmt w:val="bullet"/>
      <w:lvlText w:val="•"/>
      <w:lvlJc w:val="left"/>
      <w:pPr>
        <w:ind w:left="9235" w:hanging="25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1"/>
    <w:rsid w:val="001D3CD5"/>
    <w:rsid w:val="00402D9C"/>
    <w:rsid w:val="007B68E9"/>
    <w:rsid w:val="009706F0"/>
    <w:rsid w:val="009C5096"/>
    <w:rsid w:val="00A63B01"/>
    <w:rsid w:val="00BA260B"/>
    <w:rsid w:val="00E10071"/>
    <w:rsid w:val="00F25BB5"/>
    <w:rsid w:val="00F9241B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B3A5-4FF5-4765-985E-6222E0C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1"/>
    <w:qFormat/>
    <w:rsid w:val="00A63B01"/>
    <w:pPr>
      <w:widowControl w:val="0"/>
      <w:autoSpaceDE w:val="0"/>
      <w:autoSpaceDN w:val="0"/>
      <w:spacing w:after="0" w:line="240" w:lineRule="auto"/>
      <w:ind w:left="304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Balk8">
    <w:name w:val="heading 8"/>
    <w:basedOn w:val="Normal"/>
    <w:link w:val="Balk8Char"/>
    <w:uiPriority w:val="1"/>
    <w:qFormat/>
    <w:rsid w:val="00A63B01"/>
    <w:pPr>
      <w:widowControl w:val="0"/>
      <w:autoSpaceDE w:val="0"/>
      <w:autoSpaceDN w:val="0"/>
      <w:spacing w:after="0" w:line="240" w:lineRule="auto"/>
      <w:ind w:left="304"/>
      <w:outlineLvl w:val="7"/>
    </w:pPr>
    <w:rPr>
      <w:rFonts w:ascii="Arial" w:eastAsia="Arial" w:hAnsi="Arial" w:cs="Arial"/>
      <w:b/>
      <w:bCs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63B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3B01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A63B01"/>
    <w:pPr>
      <w:widowControl w:val="0"/>
      <w:autoSpaceDE w:val="0"/>
      <w:autoSpaceDN w:val="0"/>
      <w:spacing w:before="63" w:after="0" w:line="240" w:lineRule="auto"/>
      <w:ind w:left="808" w:hanging="504"/>
    </w:pPr>
    <w:rPr>
      <w:rFonts w:ascii="Arial" w:eastAsia="Arial" w:hAnsi="Arial" w:cs="Arial"/>
      <w:lang w:val="en-US"/>
    </w:rPr>
  </w:style>
  <w:style w:type="character" w:customStyle="1" w:styleId="Balk5Char">
    <w:name w:val="Başlık 5 Char"/>
    <w:basedOn w:val="VarsaylanParagrafYazTipi"/>
    <w:link w:val="Balk5"/>
    <w:uiPriority w:val="1"/>
    <w:rsid w:val="00A63B01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1"/>
    <w:rsid w:val="00A63B01"/>
    <w:rPr>
      <w:rFonts w:ascii="Arial" w:eastAsia="Arial" w:hAnsi="Arial" w:cs="Arial"/>
      <w:b/>
      <w:bCs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02D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02D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02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9D08-11A6-4060-AD89-E8416E91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8</cp:revision>
  <dcterms:created xsi:type="dcterms:W3CDTF">2018-10-03T13:14:00Z</dcterms:created>
  <dcterms:modified xsi:type="dcterms:W3CDTF">2018-10-25T11:26:00Z</dcterms:modified>
</cp:coreProperties>
</file>