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30" w:rsidRPr="00B80BDC" w:rsidRDefault="00247D30" w:rsidP="00247D30">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247D30" w:rsidRPr="00B80BDC" w:rsidRDefault="00247D30" w:rsidP="00247D30">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247D30" w:rsidRPr="00B80BDC" w:rsidRDefault="00247D30" w:rsidP="00247D30">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F56DE" w:rsidRPr="00B80BDC" w:rsidTr="006D34F4">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F56DE" w:rsidRPr="00B80BDC" w:rsidRDefault="00BF56DE" w:rsidP="006D34F4">
            <w:pPr>
              <w:spacing w:after="0" w:line="240" w:lineRule="auto"/>
              <w:jc w:val="center"/>
              <w:rPr>
                <w:rFonts w:ascii="Times New Roman" w:eastAsia="Times New Roman" w:hAnsi="Times New Roman" w:cs="Times New Roman"/>
                <w:b/>
                <w:color w:val="FF0000"/>
                <w:lang w:eastAsia="tr-TR"/>
              </w:rPr>
            </w:pPr>
            <w:bookmarkStart w:id="0" w:name="_GoBack"/>
            <w:bookmarkEnd w:id="0"/>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F56DE" w:rsidRPr="00B80BDC" w:rsidRDefault="00BF56DE" w:rsidP="006D34F4">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F56DE" w:rsidRPr="00B80BDC" w:rsidTr="006D34F4">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F56DE" w:rsidRPr="00B80BDC" w:rsidRDefault="00BF56DE" w:rsidP="006D34F4">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F56DE" w:rsidRPr="00B80BDC" w:rsidRDefault="00BF56DE" w:rsidP="006D34F4">
            <w:pPr>
              <w:spacing w:after="0" w:line="240" w:lineRule="auto"/>
              <w:jc w:val="center"/>
              <w:rPr>
                <w:rFonts w:ascii="Times New Roman" w:eastAsia="Times New Roman" w:hAnsi="Times New Roman" w:cs="Times New Roman"/>
                <w:b/>
                <w:color w:val="FF0000"/>
                <w:lang w:eastAsia="tr-TR"/>
              </w:rPr>
            </w:pPr>
          </w:p>
        </w:tc>
      </w:tr>
    </w:tbl>
    <w:p w:rsidR="00BF56DE" w:rsidRPr="008F4C60" w:rsidRDefault="00BF56DE" w:rsidP="00BF56DE">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F56DE" w:rsidRPr="008F4C60" w:rsidRDefault="00BF56DE" w:rsidP="00BF56DE">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 xml:space="preserve">Hâkimiyet </w:t>
      </w:r>
      <w:proofErr w:type="spellStart"/>
      <w:r w:rsidRPr="008F4C60">
        <w:rPr>
          <w:rFonts w:ascii="Times New Roman" w:hAnsi="Times New Roman" w:cs="Times New Roman"/>
          <w:i/>
          <w:iCs/>
        </w:rPr>
        <w:t>bilâ</w:t>
      </w:r>
      <w:proofErr w:type="spellEnd"/>
      <w:r w:rsidRPr="008F4C60">
        <w:rPr>
          <w:rFonts w:ascii="Times New Roman" w:hAnsi="Times New Roman" w:cs="Times New Roman"/>
          <w:i/>
          <w:iCs/>
        </w:rPr>
        <w:t xml:space="preserve"> </w:t>
      </w:r>
      <w:proofErr w:type="spellStart"/>
      <w:r w:rsidRPr="008F4C60">
        <w:rPr>
          <w:rFonts w:ascii="Times New Roman" w:hAnsi="Times New Roman" w:cs="Times New Roman"/>
          <w:i/>
          <w:iCs/>
        </w:rPr>
        <w:t>kaydû</w:t>
      </w:r>
      <w:proofErr w:type="spellEnd"/>
      <w:r w:rsidRPr="008F4C60">
        <w:rPr>
          <w:rFonts w:ascii="Times New Roman" w:hAnsi="Times New Roman" w:cs="Times New Roman"/>
          <w:i/>
          <w:iCs/>
        </w:rPr>
        <w:t xml:space="preserve">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F56DE" w:rsidRPr="00B61553" w:rsidRDefault="00BF56DE" w:rsidP="00BF56DE">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F56DE" w:rsidRPr="008F4C60" w:rsidRDefault="00BF56DE" w:rsidP="00BF56DE">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 xml:space="preserve">1517 yılında Osmanlılara intikal eden Halifeliği, II. Abdülhamit iç ve dış politikada kullanmaya çalışmıştı. Birinci Dünya Savaşı’nda ise V. Mehmet, halife sıfatıyla </w:t>
      </w:r>
      <w:proofErr w:type="spellStart"/>
      <w:r w:rsidRPr="008F4C60">
        <w:rPr>
          <w:rFonts w:ascii="Times New Roman" w:hAnsi="Times New Roman" w:cs="Times New Roman"/>
        </w:rPr>
        <w:t>Cihad</w:t>
      </w:r>
      <w:proofErr w:type="spellEnd"/>
      <w:r w:rsidRPr="008F4C60">
        <w:rPr>
          <w:rFonts w:ascii="Times New Roman" w:hAnsi="Times New Roman" w:cs="Times New Roman"/>
        </w:rPr>
        <w:t>-ı Ekber ilan etmiş ancak İslam dünyası bu çağrıya beklenen karşılığı vermemişti.</w:t>
      </w:r>
    </w:p>
    <w:p w:rsidR="00BF56DE" w:rsidRPr="008F4C60" w:rsidRDefault="00BF56DE" w:rsidP="00BF56DE">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F56DE" w:rsidRPr="008F4C60" w:rsidRDefault="00BF56DE" w:rsidP="00BF56DE">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F56DE" w:rsidRPr="008F4C60" w:rsidRDefault="00BF56DE" w:rsidP="00BF56DE">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Bir başka önemli gelişme de, 24 Kasım 1923’te Hindistan’da </w:t>
      </w:r>
      <w:proofErr w:type="spellStart"/>
      <w:r w:rsidRPr="008F4C60">
        <w:rPr>
          <w:rFonts w:ascii="Times New Roman" w:hAnsi="Times New Roman" w:cs="Times New Roman"/>
        </w:rPr>
        <w:t>İsmailiye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Mezhebi’nin</w:t>
      </w:r>
      <w:proofErr w:type="spellEnd"/>
      <w:r w:rsidRPr="008F4C60">
        <w:rPr>
          <w:rFonts w:ascii="Times New Roman" w:hAnsi="Times New Roman" w:cs="Times New Roman"/>
        </w:rPr>
        <w:t xml:space="preserve">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1"/>
      </w:r>
    </w:p>
    <w:p w:rsidR="00BF56DE" w:rsidRPr="008F4C60" w:rsidRDefault="00BF56DE" w:rsidP="00BF56DE">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2"/>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p w:rsidR="00A04EC4" w:rsidRDefault="00A04EC4"/>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97" w:rsidRDefault="00781197" w:rsidP="00BF56DE">
      <w:pPr>
        <w:spacing w:after="0" w:line="240" w:lineRule="auto"/>
      </w:pPr>
      <w:r>
        <w:separator/>
      </w:r>
    </w:p>
  </w:endnote>
  <w:endnote w:type="continuationSeparator" w:id="0">
    <w:p w:rsidR="00781197" w:rsidRDefault="00781197" w:rsidP="00BF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97" w:rsidRDefault="00781197" w:rsidP="00BF56DE">
      <w:pPr>
        <w:spacing w:after="0" w:line="240" w:lineRule="auto"/>
      </w:pPr>
      <w:r>
        <w:separator/>
      </w:r>
    </w:p>
  </w:footnote>
  <w:footnote w:type="continuationSeparator" w:id="0">
    <w:p w:rsidR="00781197" w:rsidRDefault="00781197" w:rsidP="00BF56DE">
      <w:pPr>
        <w:spacing w:after="0" w:line="240" w:lineRule="auto"/>
      </w:pPr>
      <w:r>
        <w:continuationSeparator/>
      </w:r>
    </w:p>
  </w:footnote>
  <w:footnote w:id="1">
    <w:p w:rsidR="00BF56DE" w:rsidRPr="00C70942" w:rsidRDefault="00BF56DE" w:rsidP="00BF56DE">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2">
    <w:p w:rsidR="00BF56DE" w:rsidRPr="00C70942" w:rsidRDefault="00BF56DE" w:rsidP="00BF56DE">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Mete Tunçay, </w:t>
      </w:r>
      <w:r w:rsidRPr="00C70942">
        <w:rPr>
          <w:b/>
          <w:bCs/>
          <w:sz w:val="18"/>
          <w:szCs w:val="18"/>
        </w:rPr>
        <w:t>Türkiye Cumhuriyetinde Tek Parti Yönetimimin Kurulması (1924–1930)</w:t>
      </w:r>
      <w:r w:rsidRPr="00C70942">
        <w:rPr>
          <w:sz w:val="18"/>
          <w:szCs w:val="18"/>
        </w:rPr>
        <w:t>, Yurt Yay., Ankara, 1981, s. 84–87.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93"/>
    <w:rsid w:val="00247D30"/>
    <w:rsid w:val="00744A06"/>
    <w:rsid w:val="00781197"/>
    <w:rsid w:val="00A04EC4"/>
    <w:rsid w:val="00BF56DE"/>
    <w:rsid w:val="00C83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9C73-F3A9-4194-B035-FEE73F01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BF56DE"/>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BF56DE"/>
    <w:rPr>
      <w:sz w:val="20"/>
      <w:szCs w:val="20"/>
    </w:rPr>
  </w:style>
  <w:style w:type="character" w:customStyle="1" w:styleId="DipnotMetniChar1">
    <w:name w:val="Dipnot Metni Char1"/>
    <w:aliases w:val="Char Char1"/>
    <w:link w:val="DipnotMetni"/>
    <w:uiPriority w:val="99"/>
    <w:rsid w:val="00BF56DE"/>
    <w:rPr>
      <w:rFonts w:ascii="Times New Roman" w:eastAsia="Calibri" w:hAnsi="Times New Roman" w:cs="Times New Roman"/>
      <w:sz w:val="20"/>
      <w:szCs w:val="20"/>
      <w:lang w:val="x-none" w:eastAsia="x-none"/>
    </w:rPr>
  </w:style>
  <w:style w:type="character" w:styleId="DipnotBavurusu">
    <w:name w:val="footnote reference"/>
    <w:uiPriority w:val="99"/>
    <w:qFormat/>
    <w:rsid w:val="00BF56D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2017-11-15T19:48:00Z</dcterms:created>
  <dcterms:modified xsi:type="dcterms:W3CDTF">2017-11-15T19:49:00Z</dcterms:modified>
</cp:coreProperties>
</file>